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E9ED9" w14:textId="2208B25C" w:rsidR="000577D3" w:rsidRDefault="6F6D3D7D" w:rsidP="000577D3">
      <w:pPr>
        <w:pStyle w:val="Inhopg1"/>
        <w:rPr>
          <w:rFonts w:ascii="Garamond" w:hAnsi="Garamond"/>
        </w:rPr>
      </w:pPr>
      <w:bookmarkStart w:id="0" w:name="_GoBack"/>
      <w:bookmarkEnd w:id="0"/>
      <w:r w:rsidRPr="1775D30D">
        <w:rPr>
          <w:rFonts w:ascii="Garamond" w:hAnsi="Garamond"/>
        </w:rPr>
        <w:t xml:space="preserve">  </w:t>
      </w:r>
    </w:p>
    <w:p w14:paraId="26E067B7" w14:textId="77777777" w:rsidR="003B2D12" w:rsidRPr="003B2D12" w:rsidRDefault="003B2D12" w:rsidP="003B2D12"/>
    <w:p w14:paraId="47F0A55A" w14:textId="77777777" w:rsidR="000577D3" w:rsidRPr="00BB70F7" w:rsidRDefault="000577D3" w:rsidP="000577D3">
      <w:pPr>
        <w:pStyle w:val="Inhopg1"/>
        <w:rPr>
          <w:rFonts w:ascii="Garamond" w:hAnsi="Garamond"/>
        </w:rPr>
      </w:pPr>
    </w:p>
    <w:p w14:paraId="76044236" w14:textId="77777777" w:rsidR="000577D3" w:rsidRPr="00BB70F7" w:rsidRDefault="000577D3" w:rsidP="000577D3">
      <w:pPr>
        <w:pStyle w:val="Inhopg1"/>
        <w:rPr>
          <w:rFonts w:ascii="Garamond" w:hAnsi="Garamond"/>
        </w:rPr>
      </w:pPr>
    </w:p>
    <w:p w14:paraId="1C6D0DA0" w14:textId="77777777" w:rsidR="000577D3" w:rsidRPr="007839DE" w:rsidRDefault="000577D3" w:rsidP="000577D3">
      <w:pPr>
        <w:pStyle w:val="Inhopg1"/>
        <w:rPr>
          <w:rFonts w:ascii="Garamond" w:hAnsi="Garamond"/>
        </w:rPr>
      </w:pPr>
      <w:r>
        <w:rPr>
          <w:noProof/>
        </w:rPr>
        <w:drawing>
          <wp:inline distT="0" distB="0" distL="0" distR="0" wp14:anchorId="1DAB61B8" wp14:editId="3A3FE246">
            <wp:extent cx="3876675" cy="962025"/>
            <wp:effectExtent l="0" t="0" r="9525" b="9525"/>
            <wp:docPr id="306173826" name="Afbeelding 7" descr="bghu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11">
                      <a:extLst>
                        <a:ext uri="{28A0092B-C50C-407E-A947-70E740481C1C}">
                          <a14:useLocalDpi xmlns:a14="http://schemas.microsoft.com/office/drawing/2010/main" val="0"/>
                        </a:ext>
                      </a:extLst>
                    </a:blip>
                    <a:stretch>
                      <a:fillRect/>
                    </a:stretch>
                  </pic:blipFill>
                  <pic:spPr>
                    <a:xfrm>
                      <a:off x="0" y="0"/>
                      <a:ext cx="3876675" cy="962025"/>
                    </a:xfrm>
                    <a:prstGeom prst="rect">
                      <a:avLst/>
                    </a:prstGeom>
                  </pic:spPr>
                </pic:pic>
              </a:graphicData>
            </a:graphic>
          </wp:inline>
        </w:drawing>
      </w:r>
    </w:p>
    <w:p w14:paraId="1EB07E48" w14:textId="77777777" w:rsidR="000577D3" w:rsidRPr="007839DE" w:rsidRDefault="000577D3" w:rsidP="000577D3">
      <w:pPr>
        <w:pStyle w:val="Inhopg1"/>
        <w:rPr>
          <w:rFonts w:ascii="Garamond" w:hAnsi="Garamond"/>
        </w:rPr>
      </w:pPr>
    </w:p>
    <w:p w14:paraId="73E94ABF" w14:textId="77777777" w:rsidR="000577D3" w:rsidRPr="007839DE" w:rsidRDefault="000577D3" w:rsidP="000577D3">
      <w:pPr>
        <w:pStyle w:val="Inhopg1"/>
        <w:rPr>
          <w:rFonts w:ascii="Garamond" w:hAnsi="Garamond"/>
        </w:rPr>
      </w:pPr>
    </w:p>
    <w:p w14:paraId="57E5833C" w14:textId="77777777" w:rsidR="000577D3" w:rsidRPr="007839DE" w:rsidRDefault="000577D3" w:rsidP="000577D3">
      <w:pPr>
        <w:pStyle w:val="Inhopg1"/>
        <w:rPr>
          <w:rFonts w:ascii="Garamond" w:hAnsi="Garamond"/>
        </w:rPr>
      </w:pPr>
    </w:p>
    <w:p w14:paraId="1AE88CC2" w14:textId="77777777" w:rsidR="000577D3" w:rsidRPr="007839DE" w:rsidRDefault="000577D3" w:rsidP="000577D3">
      <w:pPr>
        <w:pStyle w:val="Inhopg1"/>
        <w:pBdr>
          <w:top w:val="single" w:sz="4" w:space="1" w:color="auto"/>
          <w:left w:val="single" w:sz="4" w:space="4" w:color="auto"/>
          <w:bottom w:val="single" w:sz="4" w:space="1" w:color="auto"/>
          <w:right w:val="single" w:sz="4" w:space="4" w:color="auto"/>
        </w:pBdr>
        <w:jc w:val="center"/>
        <w:rPr>
          <w:rFonts w:ascii="Garamond" w:hAnsi="Garamond"/>
          <w:color w:val="0072BA"/>
        </w:rPr>
      </w:pPr>
    </w:p>
    <w:p w14:paraId="666CC0E5" w14:textId="32103404" w:rsidR="008A07CC" w:rsidRPr="00F14D4E" w:rsidRDefault="009B6E4B" w:rsidP="008A07CC">
      <w:pPr>
        <w:pStyle w:val="Inhopg1"/>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0072BA"/>
          <w:sz w:val="24"/>
        </w:rPr>
      </w:pPr>
      <w:r>
        <w:rPr>
          <w:rFonts w:asciiTheme="minorHAnsi" w:hAnsiTheme="minorHAnsi" w:cstheme="minorHAnsi"/>
          <w:color w:val="0072BA"/>
          <w:sz w:val="24"/>
        </w:rPr>
        <w:t>Kadernota 2024-2027</w:t>
      </w:r>
    </w:p>
    <w:p w14:paraId="6BF2247E" w14:textId="77777777" w:rsidR="000577D3" w:rsidRPr="00F14D4E" w:rsidRDefault="000577D3" w:rsidP="000577D3">
      <w:pPr>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0072BA"/>
          <w:sz w:val="24"/>
        </w:rPr>
      </w:pPr>
    </w:p>
    <w:p w14:paraId="436EE6C4" w14:textId="14E1F717" w:rsidR="000577D3" w:rsidRPr="00F14D4E" w:rsidRDefault="000577D3" w:rsidP="000577D3">
      <w:pPr>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0072BA"/>
          <w:sz w:val="24"/>
        </w:rPr>
      </w:pPr>
      <w:r w:rsidRPr="00F14D4E">
        <w:rPr>
          <w:rFonts w:asciiTheme="minorHAnsi" w:hAnsiTheme="minorHAnsi" w:cstheme="minorHAnsi"/>
          <w:b/>
          <w:color w:val="0072BA"/>
          <w:sz w:val="24"/>
        </w:rPr>
        <w:t xml:space="preserve">Belastingsamenwerking gemeenten en </w:t>
      </w:r>
      <w:r w:rsidR="0058393C">
        <w:rPr>
          <w:rFonts w:asciiTheme="minorHAnsi" w:hAnsiTheme="minorHAnsi" w:cstheme="minorHAnsi"/>
          <w:b/>
          <w:color w:val="0072BA"/>
          <w:sz w:val="24"/>
        </w:rPr>
        <w:t>h</w:t>
      </w:r>
      <w:r w:rsidRPr="00F14D4E">
        <w:rPr>
          <w:rFonts w:asciiTheme="minorHAnsi" w:hAnsiTheme="minorHAnsi" w:cstheme="minorHAnsi"/>
          <w:b/>
          <w:color w:val="0072BA"/>
          <w:sz w:val="24"/>
        </w:rPr>
        <w:t>oogheemraadschap Utrecht</w:t>
      </w:r>
    </w:p>
    <w:p w14:paraId="1097C3C0" w14:textId="77777777" w:rsidR="000577D3" w:rsidRPr="00F14D4E" w:rsidRDefault="000577D3" w:rsidP="000577D3">
      <w:pPr>
        <w:rPr>
          <w:rFonts w:asciiTheme="minorHAnsi" w:hAnsiTheme="minorHAnsi" w:cstheme="minorHAnsi"/>
          <w:sz w:val="24"/>
          <w:highlight w:val="yellow"/>
        </w:rPr>
      </w:pPr>
    </w:p>
    <w:p w14:paraId="293D485C" w14:textId="77777777" w:rsidR="000577D3" w:rsidRPr="007839DE" w:rsidRDefault="000577D3" w:rsidP="000577D3">
      <w:pPr>
        <w:rPr>
          <w:rFonts w:ascii="Garamond" w:hAnsi="Garamond"/>
          <w:highlight w:val="yellow"/>
        </w:rPr>
      </w:pPr>
    </w:p>
    <w:p w14:paraId="2F0DC053" w14:textId="48DD0849" w:rsidR="000577D3" w:rsidRPr="007839DE" w:rsidRDefault="00DF2019" w:rsidP="000577D3">
      <w:pPr>
        <w:rPr>
          <w:rFonts w:ascii="Garamond" w:hAnsi="Garamond"/>
          <w:highlight w:val="yellow"/>
        </w:rPr>
      </w:pPr>
      <w:r>
        <w:rPr>
          <w:noProof/>
        </w:rPr>
        <w:drawing>
          <wp:inline distT="0" distB="0" distL="0" distR="0" wp14:anchorId="6293B4D4" wp14:editId="4C45CA3A">
            <wp:extent cx="5760720" cy="4076314"/>
            <wp:effectExtent l="0" t="0" r="0" b="635"/>
            <wp:docPr id="161292736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2">
                      <a:extLst>
                        <a:ext uri="{28A0092B-C50C-407E-A947-70E740481C1C}">
                          <a14:useLocalDpi xmlns:a14="http://schemas.microsoft.com/office/drawing/2010/main" val="0"/>
                        </a:ext>
                      </a:extLst>
                    </a:blip>
                    <a:stretch>
                      <a:fillRect/>
                    </a:stretch>
                  </pic:blipFill>
                  <pic:spPr>
                    <a:xfrm>
                      <a:off x="0" y="0"/>
                      <a:ext cx="5760720" cy="4076314"/>
                    </a:xfrm>
                    <a:prstGeom prst="rect">
                      <a:avLst/>
                    </a:prstGeom>
                  </pic:spPr>
                </pic:pic>
              </a:graphicData>
            </a:graphic>
          </wp:inline>
        </w:drawing>
      </w:r>
    </w:p>
    <w:p w14:paraId="3D97EDE5" w14:textId="77777777" w:rsidR="000577D3" w:rsidRPr="007839DE" w:rsidRDefault="000577D3" w:rsidP="000577D3">
      <w:pPr>
        <w:rPr>
          <w:rFonts w:ascii="Garamond" w:hAnsi="Garamond"/>
          <w:highlight w:val="yellow"/>
        </w:rPr>
      </w:pPr>
    </w:p>
    <w:p w14:paraId="088E3772" w14:textId="77777777" w:rsidR="000577D3" w:rsidRPr="007839DE" w:rsidRDefault="000577D3" w:rsidP="000577D3">
      <w:pPr>
        <w:rPr>
          <w:rFonts w:ascii="Garamond" w:hAnsi="Garamond"/>
          <w:highlight w:val="yellow"/>
        </w:rPr>
      </w:pPr>
    </w:p>
    <w:p w14:paraId="52F1CE4E" w14:textId="77777777" w:rsidR="000577D3" w:rsidRPr="007839DE" w:rsidRDefault="000577D3" w:rsidP="000577D3">
      <w:pPr>
        <w:rPr>
          <w:rFonts w:ascii="Garamond" w:hAnsi="Garamond"/>
          <w:highlight w:val="yellow"/>
        </w:rPr>
      </w:pPr>
    </w:p>
    <w:p w14:paraId="21846187" w14:textId="77777777" w:rsidR="000577D3" w:rsidRPr="007839DE" w:rsidRDefault="000577D3" w:rsidP="000577D3">
      <w:pPr>
        <w:rPr>
          <w:rFonts w:ascii="Garamond" w:hAnsi="Garamond"/>
          <w:highlight w:val="yellow"/>
        </w:rPr>
      </w:pPr>
    </w:p>
    <w:p w14:paraId="6E9E2DB0" w14:textId="77777777" w:rsidR="000577D3" w:rsidRPr="007839DE" w:rsidRDefault="000577D3" w:rsidP="000577D3">
      <w:pPr>
        <w:rPr>
          <w:rFonts w:ascii="Garamond" w:hAnsi="Garamond"/>
          <w:highlight w:val="yellow"/>
        </w:rPr>
      </w:pPr>
    </w:p>
    <w:p w14:paraId="454BBB3D" w14:textId="77777777" w:rsidR="000577D3" w:rsidRPr="007839DE" w:rsidRDefault="000577D3" w:rsidP="000577D3">
      <w:pPr>
        <w:pStyle w:val="Inhopg1"/>
        <w:jc w:val="center"/>
        <w:rPr>
          <w:rFonts w:ascii="Garamond" w:hAnsi="Garamond"/>
          <w:highlight w:val="yellow"/>
        </w:rPr>
      </w:pPr>
    </w:p>
    <w:p w14:paraId="055AE835" w14:textId="77777777" w:rsidR="000577D3" w:rsidRPr="007839DE" w:rsidRDefault="000577D3" w:rsidP="000577D3">
      <w:pPr>
        <w:pStyle w:val="Inhopg1"/>
        <w:jc w:val="center"/>
        <w:rPr>
          <w:rFonts w:ascii="Garamond" w:hAnsi="Garamond"/>
          <w:highlight w:val="yellow"/>
        </w:rPr>
      </w:pPr>
    </w:p>
    <w:p w14:paraId="77EE03EC" w14:textId="22E36521" w:rsidR="000577D3" w:rsidRPr="007839DE" w:rsidRDefault="000577D3" w:rsidP="000577D3">
      <w:pPr>
        <w:pStyle w:val="Inhopg1"/>
        <w:jc w:val="right"/>
        <w:rPr>
          <w:rFonts w:ascii="Garamond" w:hAnsi="Garamond"/>
          <w:highlight w:val="yellow"/>
        </w:rPr>
      </w:pPr>
    </w:p>
    <w:sdt>
      <w:sdtPr>
        <w:rPr>
          <w:rFonts w:ascii="Helvetica" w:eastAsia="Times New Roman" w:hAnsi="Helvetica" w:cs="Times New Roman"/>
          <w:bCs/>
          <w:color w:val="auto"/>
          <w:sz w:val="18"/>
          <w:szCs w:val="24"/>
        </w:rPr>
        <w:id w:val="1111101642"/>
        <w:docPartObj>
          <w:docPartGallery w:val="Table of Contents"/>
          <w:docPartUnique/>
        </w:docPartObj>
      </w:sdtPr>
      <w:sdtEndPr>
        <w:rPr>
          <w:sz w:val="20"/>
        </w:rPr>
      </w:sdtEndPr>
      <w:sdtContent>
        <w:p w14:paraId="23D55835" w14:textId="77777777" w:rsidR="009A4B9E" w:rsidRDefault="009A4B9E" w:rsidP="00805DFF">
          <w:pPr>
            <w:pStyle w:val="Kopvaninhoudsopgave"/>
            <w:spacing w:line="240" w:lineRule="auto"/>
            <w:rPr>
              <w:rFonts w:ascii="Garamond" w:eastAsia="Times New Roman" w:hAnsi="Garamond" w:cs="Times New Roman"/>
              <w:color w:val="auto"/>
              <w:sz w:val="24"/>
              <w:szCs w:val="24"/>
              <w:highlight w:val="yellow"/>
            </w:rPr>
          </w:pPr>
        </w:p>
        <w:p w14:paraId="52125A38" w14:textId="77777777" w:rsidR="009A4B9E" w:rsidRDefault="009A4B9E" w:rsidP="3BFBF894">
          <w:pPr>
            <w:spacing w:after="200" w:line="276" w:lineRule="auto"/>
            <w:rPr>
              <w:rFonts w:ascii="Garamond" w:hAnsi="Garamond"/>
              <w:sz w:val="24"/>
              <w:highlight w:val="yellow"/>
            </w:rPr>
          </w:pPr>
          <w:r w:rsidRPr="3BFBF894">
            <w:rPr>
              <w:rFonts w:ascii="Garamond" w:hAnsi="Garamond"/>
              <w:sz w:val="24"/>
              <w:highlight w:val="yellow"/>
            </w:rPr>
            <w:br w:type="page"/>
          </w:r>
        </w:p>
        <w:p w14:paraId="01195E03" w14:textId="4AA5B4B5" w:rsidR="00A801A0" w:rsidRPr="00D65189" w:rsidRDefault="3BFBF894" w:rsidP="00805DFF">
          <w:pPr>
            <w:pStyle w:val="Kopvaninhoudsopgave"/>
            <w:spacing w:line="240" w:lineRule="auto"/>
            <w:rPr>
              <w:rFonts w:ascii="Garamond" w:hAnsi="Garamond"/>
              <w:sz w:val="24"/>
              <w:szCs w:val="24"/>
            </w:rPr>
          </w:pPr>
          <w:r w:rsidRPr="3BFBF894">
            <w:rPr>
              <w:rFonts w:ascii="Garamond" w:hAnsi="Garamond"/>
              <w:sz w:val="24"/>
              <w:szCs w:val="24"/>
            </w:rPr>
            <w:lastRenderedPageBreak/>
            <w:t>Inhoudsopgave</w:t>
          </w:r>
        </w:p>
        <w:p w14:paraId="65A6B4F5" w14:textId="0894CC46" w:rsidR="00CB7872" w:rsidRDefault="007D3E7E">
          <w:pPr>
            <w:pStyle w:val="Inhopg1"/>
            <w:rPr>
              <w:rFonts w:asciiTheme="minorHAnsi" w:eastAsiaTheme="minorEastAsia" w:hAnsiTheme="minorHAnsi" w:cstheme="minorBidi"/>
              <w:b w:val="0"/>
              <w:bCs w:val="0"/>
              <w:noProof/>
              <w:sz w:val="22"/>
              <w:szCs w:val="22"/>
            </w:rPr>
          </w:pPr>
          <w:r>
            <w:fldChar w:fldCharType="begin"/>
          </w:r>
          <w:r w:rsidR="11F9AEBF">
            <w:instrText>TOC \o "1-3" \h \z \u</w:instrText>
          </w:r>
          <w:r>
            <w:fldChar w:fldCharType="separate"/>
          </w:r>
          <w:hyperlink w:anchor="_Toc121747465" w:history="1">
            <w:r w:rsidR="00CB7872" w:rsidRPr="002E17AD">
              <w:rPr>
                <w:rStyle w:val="Hyperlink"/>
                <w:noProof/>
              </w:rPr>
              <w:t>1. Voorwoord</w:t>
            </w:r>
            <w:r w:rsidR="00CB7872">
              <w:rPr>
                <w:noProof/>
                <w:webHidden/>
              </w:rPr>
              <w:tab/>
            </w:r>
            <w:r w:rsidR="00CB7872">
              <w:rPr>
                <w:noProof/>
                <w:webHidden/>
              </w:rPr>
              <w:fldChar w:fldCharType="begin"/>
            </w:r>
            <w:r w:rsidR="00CB7872">
              <w:rPr>
                <w:noProof/>
                <w:webHidden/>
              </w:rPr>
              <w:instrText xml:space="preserve"> PAGEREF _Toc121747465 \h </w:instrText>
            </w:r>
            <w:r w:rsidR="00CB7872">
              <w:rPr>
                <w:noProof/>
                <w:webHidden/>
              </w:rPr>
            </w:r>
            <w:r w:rsidR="00CB7872">
              <w:rPr>
                <w:noProof/>
                <w:webHidden/>
              </w:rPr>
              <w:fldChar w:fldCharType="separate"/>
            </w:r>
            <w:r w:rsidR="00F075EF">
              <w:rPr>
                <w:noProof/>
                <w:webHidden/>
              </w:rPr>
              <w:t>3</w:t>
            </w:r>
            <w:r w:rsidR="00CB7872">
              <w:rPr>
                <w:noProof/>
                <w:webHidden/>
              </w:rPr>
              <w:fldChar w:fldCharType="end"/>
            </w:r>
          </w:hyperlink>
        </w:p>
        <w:p w14:paraId="47790494" w14:textId="14F890CD" w:rsidR="00CB7872" w:rsidRDefault="00AD006A">
          <w:pPr>
            <w:pStyle w:val="Inhopg2"/>
            <w:tabs>
              <w:tab w:val="right" w:leader="dot" w:pos="9062"/>
            </w:tabs>
            <w:rPr>
              <w:rFonts w:asciiTheme="minorHAnsi" w:eastAsiaTheme="minorEastAsia" w:hAnsiTheme="minorHAnsi" w:cstheme="minorBidi"/>
              <w:noProof/>
              <w:sz w:val="22"/>
              <w:szCs w:val="22"/>
            </w:rPr>
          </w:pPr>
          <w:hyperlink w:anchor="_Toc121747466" w:history="1">
            <w:r w:rsidR="00CB7872" w:rsidRPr="002E17AD">
              <w:rPr>
                <w:rStyle w:val="Hyperlink"/>
                <w:noProof/>
              </w:rPr>
              <w:t>1.1 Wat ging eraan vooraf</w:t>
            </w:r>
            <w:r w:rsidR="00CB7872">
              <w:rPr>
                <w:noProof/>
                <w:webHidden/>
              </w:rPr>
              <w:tab/>
            </w:r>
            <w:r w:rsidR="00CB7872">
              <w:rPr>
                <w:noProof/>
                <w:webHidden/>
              </w:rPr>
              <w:fldChar w:fldCharType="begin"/>
            </w:r>
            <w:r w:rsidR="00CB7872">
              <w:rPr>
                <w:noProof/>
                <w:webHidden/>
              </w:rPr>
              <w:instrText xml:space="preserve"> PAGEREF _Toc121747466 \h </w:instrText>
            </w:r>
            <w:r w:rsidR="00CB7872">
              <w:rPr>
                <w:noProof/>
                <w:webHidden/>
              </w:rPr>
            </w:r>
            <w:r w:rsidR="00CB7872">
              <w:rPr>
                <w:noProof/>
                <w:webHidden/>
              </w:rPr>
              <w:fldChar w:fldCharType="separate"/>
            </w:r>
            <w:r w:rsidR="00F075EF">
              <w:rPr>
                <w:noProof/>
                <w:webHidden/>
              </w:rPr>
              <w:t>3</w:t>
            </w:r>
            <w:r w:rsidR="00CB7872">
              <w:rPr>
                <w:noProof/>
                <w:webHidden/>
              </w:rPr>
              <w:fldChar w:fldCharType="end"/>
            </w:r>
          </w:hyperlink>
        </w:p>
        <w:p w14:paraId="08B178FC" w14:textId="5518AD89" w:rsidR="00CB7872" w:rsidRDefault="00AD006A">
          <w:pPr>
            <w:pStyle w:val="Inhopg2"/>
            <w:tabs>
              <w:tab w:val="right" w:leader="dot" w:pos="9062"/>
            </w:tabs>
            <w:rPr>
              <w:rFonts w:asciiTheme="minorHAnsi" w:eastAsiaTheme="minorEastAsia" w:hAnsiTheme="minorHAnsi" w:cstheme="minorBidi"/>
              <w:noProof/>
              <w:sz w:val="22"/>
              <w:szCs w:val="22"/>
            </w:rPr>
          </w:pPr>
          <w:hyperlink w:anchor="_Toc121747467" w:history="1">
            <w:r w:rsidR="00CB7872" w:rsidRPr="002E17AD">
              <w:rPr>
                <w:rStyle w:val="Hyperlink"/>
                <w:noProof/>
              </w:rPr>
              <w:t>1.2 Meerjarenperspectief 2024-2027</w:t>
            </w:r>
            <w:r w:rsidR="00CB7872">
              <w:rPr>
                <w:noProof/>
                <w:webHidden/>
              </w:rPr>
              <w:tab/>
            </w:r>
            <w:r w:rsidR="00CB7872">
              <w:rPr>
                <w:noProof/>
                <w:webHidden/>
              </w:rPr>
              <w:fldChar w:fldCharType="begin"/>
            </w:r>
            <w:r w:rsidR="00CB7872">
              <w:rPr>
                <w:noProof/>
                <w:webHidden/>
              </w:rPr>
              <w:instrText xml:space="preserve"> PAGEREF _Toc121747467 \h </w:instrText>
            </w:r>
            <w:r w:rsidR="00CB7872">
              <w:rPr>
                <w:noProof/>
                <w:webHidden/>
              </w:rPr>
            </w:r>
            <w:r w:rsidR="00CB7872">
              <w:rPr>
                <w:noProof/>
                <w:webHidden/>
              </w:rPr>
              <w:fldChar w:fldCharType="separate"/>
            </w:r>
            <w:r w:rsidR="00F075EF">
              <w:rPr>
                <w:noProof/>
                <w:webHidden/>
              </w:rPr>
              <w:t>3</w:t>
            </w:r>
            <w:r w:rsidR="00CB7872">
              <w:rPr>
                <w:noProof/>
                <w:webHidden/>
              </w:rPr>
              <w:fldChar w:fldCharType="end"/>
            </w:r>
          </w:hyperlink>
        </w:p>
        <w:p w14:paraId="1B7B1F82" w14:textId="068C7B4B" w:rsidR="00CB7872" w:rsidRDefault="00AD006A">
          <w:pPr>
            <w:pStyle w:val="Inhopg1"/>
            <w:rPr>
              <w:rFonts w:asciiTheme="minorHAnsi" w:eastAsiaTheme="minorEastAsia" w:hAnsiTheme="minorHAnsi" w:cstheme="minorBidi"/>
              <w:b w:val="0"/>
              <w:bCs w:val="0"/>
              <w:noProof/>
              <w:sz w:val="22"/>
              <w:szCs w:val="22"/>
            </w:rPr>
          </w:pPr>
          <w:hyperlink w:anchor="_Toc121747468" w:history="1">
            <w:r w:rsidR="00CB7872" w:rsidRPr="002E17AD">
              <w:rPr>
                <w:rStyle w:val="Hyperlink"/>
                <w:noProof/>
              </w:rPr>
              <w:t>2. Organisatie</w:t>
            </w:r>
            <w:r w:rsidR="00CB7872">
              <w:rPr>
                <w:noProof/>
                <w:webHidden/>
              </w:rPr>
              <w:tab/>
            </w:r>
            <w:r w:rsidR="00CB7872">
              <w:rPr>
                <w:noProof/>
                <w:webHidden/>
              </w:rPr>
              <w:fldChar w:fldCharType="begin"/>
            </w:r>
            <w:r w:rsidR="00CB7872">
              <w:rPr>
                <w:noProof/>
                <w:webHidden/>
              </w:rPr>
              <w:instrText xml:space="preserve"> PAGEREF _Toc121747468 \h </w:instrText>
            </w:r>
            <w:r w:rsidR="00CB7872">
              <w:rPr>
                <w:noProof/>
                <w:webHidden/>
              </w:rPr>
            </w:r>
            <w:r w:rsidR="00CB7872">
              <w:rPr>
                <w:noProof/>
                <w:webHidden/>
              </w:rPr>
              <w:fldChar w:fldCharType="separate"/>
            </w:r>
            <w:r w:rsidR="00F075EF">
              <w:rPr>
                <w:noProof/>
                <w:webHidden/>
              </w:rPr>
              <w:t>4</w:t>
            </w:r>
            <w:r w:rsidR="00CB7872">
              <w:rPr>
                <w:noProof/>
                <w:webHidden/>
              </w:rPr>
              <w:fldChar w:fldCharType="end"/>
            </w:r>
          </w:hyperlink>
        </w:p>
        <w:p w14:paraId="5D748E66" w14:textId="23482ED8" w:rsidR="00CB7872" w:rsidRDefault="00AD006A">
          <w:pPr>
            <w:pStyle w:val="Inhopg2"/>
            <w:tabs>
              <w:tab w:val="right" w:leader="dot" w:pos="9062"/>
            </w:tabs>
            <w:rPr>
              <w:rFonts w:asciiTheme="minorHAnsi" w:eastAsiaTheme="minorEastAsia" w:hAnsiTheme="minorHAnsi" w:cstheme="minorBidi"/>
              <w:noProof/>
              <w:sz w:val="22"/>
              <w:szCs w:val="22"/>
            </w:rPr>
          </w:pPr>
          <w:hyperlink w:anchor="_Toc121747469" w:history="1">
            <w:r w:rsidR="00CB7872" w:rsidRPr="002E17AD">
              <w:rPr>
                <w:rStyle w:val="Hyperlink"/>
                <w:noProof/>
              </w:rPr>
              <w:t>2.1 Missie en Visie</w:t>
            </w:r>
            <w:r w:rsidR="00CB7872">
              <w:rPr>
                <w:noProof/>
                <w:webHidden/>
              </w:rPr>
              <w:tab/>
            </w:r>
            <w:r w:rsidR="00CB7872">
              <w:rPr>
                <w:noProof/>
                <w:webHidden/>
              </w:rPr>
              <w:fldChar w:fldCharType="begin"/>
            </w:r>
            <w:r w:rsidR="00CB7872">
              <w:rPr>
                <w:noProof/>
                <w:webHidden/>
              </w:rPr>
              <w:instrText xml:space="preserve"> PAGEREF _Toc121747469 \h </w:instrText>
            </w:r>
            <w:r w:rsidR="00CB7872">
              <w:rPr>
                <w:noProof/>
                <w:webHidden/>
              </w:rPr>
            </w:r>
            <w:r w:rsidR="00CB7872">
              <w:rPr>
                <w:noProof/>
                <w:webHidden/>
              </w:rPr>
              <w:fldChar w:fldCharType="separate"/>
            </w:r>
            <w:r w:rsidR="00F075EF">
              <w:rPr>
                <w:noProof/>
                <w:webHidden/>
              </w:rPr>
              <w:t>4</w:t>
            </w:r>
            <w:r w:rsidR="00CB7872">
              <w:rPr>
                <w:noProof/>
                <w:webHidden/>
              </w:rPr>
              <w:fldChar w:fldCharType="end"/>
            </w:r>
          </w:hyperlink>
        </w:p>
        <w:p w14:paraId="5B87C688" w14:textId="7BE912E0" w:rsidR="00CB7872" w:rsidRDefault="00AD006A">
          <w:pPr>
            <w:pStyle w:val="Inhopg2"/>
            <w:tabs>
              <w:tab w:val="right" w:leader="dot" w:pos="9062"/>
            </w:tabs>
            <w:rPr>
              <w:rFonts w:asciiTheme="minorHAnsi" w:eastAsiaTheme="minorEastAsia" w:hAnsiTheme="minorHAnsi" w:cstheme="minorBidi"/>
              <w:noProof/>
              <w:sz w:val="22"/>
              <w:szCs w:val="22"/>
            </w:rPr>
          </w:pPr>
          <w:hyperlink w:anchor="_Toc121747470" w:history="1">
            <w:r w:rsidR="00CB7872" w:rsidRPr="002E17AD">
              <w:rPr>
                <w:rStyle w:val="Hyperlink"/>
                <w:noProof/>
              </w:rPr>
              <w:t>2.2 Organisatie – ontwikkelperspectief 2024-2027</w:t>
            </w:r>
            <w:r w:rsidR="00CB7872">
              <w:rPr>
                <w:noProof/>
                <w:webHidden/>
              </w:rPr>
              <w:tab/>
            </w:r>
            <w:r w:rsidR="00CB7872">
              <w:rPr>
                <w:noProof/>
                <w:webHidden/>
              </w:rPr>
              <w:fldChar w:fldCharType="begin"/>
            </w:r>
            <w:r w:rsidR="00CB7872">
              <w:rPr>
                <w:noProof/>
                <w:webHidden/>
              </w:rPr>
              <w:instrText xml:space="preserve"> PAGEREF _Toc121747470 \h </w:instrText>
            </w:r>
            <w:r w:rsidR="00CB7872">
              <w:rPr>
                <w:noProof/>
                <w:webHidden/>
              </w:rPr>
            </w:r>
            <w:r w:rsidR="00CB7872">
              <w:rPr>
                <w:noProof/>
                <w:webHidden/>
              </w:rPr>
              <w:fldChar w:fldCharType="separate"/>
            </w:r>
            <w:r w:rsidR="00F075EF">
              <w:rPr>
                <w:noProof/>
                <w:webHidden/>
              </w:rPr>
              <w:t>5</w:t>
            </w:r>
            <w:r w:rsidR="00CB7872">
              <w:rPr>
                <w:noProof/>
                <w:webHidden/>
              </w:rPr>
              <w:fldChar w:fldCharType="end"/>
            </w:r>
          </w:hyperlink>
        </w:p>
        <w:p w14:paraId="02D82354" w14:textId="2C9268E5" w:rsidR="00CB7872" w:rsidRDefault="00AD006A">
          <w:pPr>
            <w:pStyle w:val="Inhopg2"/>
            <w:tabs>
              <w:tab w:val="right" w:leader="dot" w:pos="9062"/>
            </w:tabs>
            <w:rPr>
              <w:rFonts w:asciiTheme="minorHAnsi" w:eastAsiaTheme="minorEastAsia" w:hAnsiTheme="minorHAnsi" w:cstheme="minorBidi"/>
              <w:noProof/>
              <w:sz w:val="22"/>
              <w:szCs w:val="22"/>
            </w:rPr>
          </w:pPr>
          <w:hyperlink w:anchor="_Toc121747471" w:history="1">
            <w:r w:rsidR="00CB7872" w:rsidRPr="002E17AD">
              <w:rPr>
                <w:rStyle w:val="Hyperlink"/>
                <w:noProof/>
              </w:rPr>
              <w:t>2.3 Overzicht basispakket en pluspakket</w:t>
            </w:r>
            <w:r w:rsidR="00CB7872">
              <w:rPr>
                <w:noProof/>
                <w:webHidden/>
              </w:rPr>
              <w:tab/>
            </w:r>
            <w:r w:rsidR="00CB7872">
              <w:rPr>
                <w:noProof/>
                <w:webHidden/>
              </w:rPr>
              <w:fldChar w:fldCharType="begin"/>
            </w:r>
            <w:r w:rsidR="00CB7872">
              <w:rPr>
                <w:noProof/>
                <w:webHidden/>
              </w:rPr>
              <w:instrText xml:space="preserve"> PAGEREF _Toc121747471 \h </w:instrText>
            </w:r>
            <w:r w:rsidR="00CB7872">
              <w:rPr>
                <w:noProof/>
                <w:webHidden/>
              </w:rPr>
            </w:r>
            <w:r w:rsidR="00CB7872">
              <w:rPr>
                <w:noProof/>
                <w:webHidden/>
              </w:rPr>
              <w:fldChar w:fldCharType="separate"/>
            </w:r>
            <w:r w:rsidR="00F075EF">
              <w:rPr>
                <w:noProof/>
                <w:webHidden/>
              </w:rPr>
              <w:t>6</w:t>
            </w:r>
            <w:r w:rsidR="00CB7872">
              <w:rPr>
                <w:noProof/>
                <w:webHidden/>
              </w:rPr>
              <w:fldChar w:fldCharType="end"/>
            </w:r>
          </w:hyperlink>
        </w:p>
        <w:p w14:paraId="38D011C7" w14:textId="29C9E605" w:rsidR="00CB7872" w:rsidRDefault="00AD006A">
          <w:pPr>
            <w:pStyle w:val="Inhopg1"/>
            <w:rPr>
              <w:rFonts w:asciiTheme="minorHAnsi" w:eastAsiaTheme="minorEastAsia" w:hAnsiTheme="minorHAnsi" w:cstheme="minorBidi"/>
              <w:b w:val="0"/>
              <w:bCs w:val="0"/>
              <w:noProof/>
              <w:sz w:val="22"/>
              <w:szCs w:val="22"/>
            </w:rPr>
          </w:pPr>
          <w:hyperlink w:anchor="_Toc121747472" w:history="1">
            <w:r w:rsidR="00CB7872" w:rsidRPr="002E17AD">
              <w:rPr>
                <w:rStyle w:val="Hyperlink"/>
                <w:noProof/>
              </w:rPr>
              <w:t>3. Landelijke en regionale ontwikkelingen</w:t>
            </w:r>
            <w:r w:rsidR="00CB7872">
              <w:rPr>
                <w:noProof/>
                <w:webHidden/>
              </w:rPr>
              <w:tab/>
            </w:r>
            <w:r w:rsidR="00CB7872">
              <w:rPr>
                <w:noProof/>
                <w:webHidden/>
              </w:rPr>
              <w:fldChar w:fldCharType="begin"/>
            </w:r>
            <w:r w:rsidR="00CB7872">
              <w:rPr>
                <w:noProof/>
                <w:webHidden/>
              </w:rPr>
              <w:instrText xml:space="preserve"> PAGEREF _Toc121747472 \h </w:instrText>
            </w:r>
            <w:r w:rsidR="00CB7872">
              <w:rPr>
                <w:noProof/>
                <w:webHidden/>
              </w:rPr>
            </w:r>
            <w:r w:rsidR="00CB7872">
              <w:rPr>
                <w:noProof/>
                <w:webHidden/>
              </w:rPr>
              <w:fldChar w:fldCharType="separate"/>
            </w:r>
            <w:r w:rsidR="00F075EF">
              <w:rPr>
                <w:noProof/>
                <w:webHidden/>
              </w:rPr>
              <w:t>7</w:t>
            </w:r>
            <w:r w:rsidR="00CB7872">
              <w:rPr>
                <w:noProof/>
                <w:webHidden/>
              </w:rPr>
              <w:fldChar w:fldCharType="end"/>
            </w:r>
          </w:hyperlink>
        </w:p>
        <w:p w14:paraId="2146C4FB" w14:textId="687FB379" w:rsidR="00CB7872" w:rsidRDefault="00AD006A">
          <w:pPr>
            <w:pStyle w:val="Inhopg2"/>
            <w:tabs>
              <w:tab w:val="right" w:leader="dot" w:pos="9062"/>
            </w:tabs>
            <w:rPr>
              <w:rFonts w:asciiTheme="minorHAnsi" w:eastAsiaTheme="minorEastAsia" w:hAnsiTheme="minorHAnsi" w:cstheme="minorBidi"/>
              <w:noProof/>
              <w:sz w:val="22"/>
              <w:szCs w:val="22"/>
            </w:rPr>
          </w:pPr>
          <w:hyperlink w:anchor="_Toc121747473" w:history="1">
            <w:r w:rsidR="00CB7872" w:rsidRPr="002E17AD">
              <w:rPr>
                <w:rStyle w:val="Hyperlink"/>
                <w:rFonts w:eastAsia="Calibri"/>
                <w:noProof/>
              </w:rPr>
              <w:t>Landelijke &amp; regionale ontwikkelingen</w:t>
            </w:r>
            <w:r w:rsidR="00CB7872">
              <w:rPr>
                <w:noProof/>
                <w:webHidden/>
              </w:rPr>
              <w:tab/>
            </w:r>
            <w:r w:rsidR="00CB7872">
              <w:rPr>
                <w:noProof/>
                <w:webHidden/>
              </w:rPr>
              <w:fldChar w:fldCharType="begin"/>
            </w:r>
            <w:r w:rsidR="00CB7872">
              <w:rPr>
                <w:noProof/>
                <w:webHidden/>
              </w:rPr>
              <w:instrText xml:space="preserve"> PAGEREF _Toc121747473 \h </w:instrText>
            </w:r>
            <w:r w:rsidR="00CB7872">
              <w:rPr>
                <w:noProof/>
                <w:webHidden/>
              </w:rPr>
            </w:r>
            <w:r w:rsidR="00CB7872">
              <w:rPr>
                <w:noProof/>
                <w:webHidden/>
              </w:rPr>
              <w:fldChar w:fldCharType="separate"/>
            </w:r>
            <w:r w:rsidR="00F075EF">
              <w:rPr>
                <w:noProof/>
                <w:webHidden/>
              </w:rPr>
              <w:t>7</w:t>
            </w:r>
            <w:r w:rsidR="00CB7872">
              <w:rPr>
                <w:noProof/>
                <w:webHidden/>
              </w:rPr>
              <w:fldChar w:fldCharType="end"/>
            </w:r>
          </w:hyperlink>
        </w:p>
        <w:p w14:paraId="32FF98D1" w14:textId="730A1063" w:rsidR="00CB7872" w:rsidRDefault="00AD006A">
          <w:pPr>
            <w:pStyle w:val="Inhopg1"/>
            <w:rPr>
              <w:rFonts w:asciiTheme="minorHAnsi" w:eastAsiaTheme="minorEastAsia" w:hAnsiTheme="minorHAnsi" w:cstheme="minorBidi"/>
              <w:b w:val="0"/>
              <w:bCs w:val="0"/>
              <w:noProof/>
              <w:sz w:val="22"/>
              <w:szCs w:val="22"/>
            </w:rPr>
          </w:pPr>
          <w:hyperlink w:anchor="_Toc121747474" w:history="1">
            <w:r w:rsidR="00CB7872" w:rsidRPr="002E17AD">
              <w:rPr>
                <w:rStyle w:val="Hyperlink"/>
                <w:noProof/>
              </w:rPr>
              <w:t>4. Ontwikkeling programma’s</w:t>
            </w:r>
            <w:r w:rsidR="00CB7872">
              <w:rPr>
                <w:noProof/>
                <w:webHidden/>
              </w:rPr>
              <w:tab/>
            </w:r>
            <w:r w:rsidR="00CB7872">
              <w:rPr>
                <w:noProof/>
                <w:webHidden/>
              </w:rPr>
              <w:fldChar w:fldCharType="begin"/>
            </w:r>
            <w:r w:rsidR="00CB7872">
              <w:rPr>
                <w:noProof/>
                <w:webHidden/>
              </w:rPr>
              <w:instrText xml:space="preserve"> PAGEREF _Toc121747474 \h </w:instrText>
            </w:r>
            <w:r w:rsidR="00CB7872">
              <w:rPr>
                <w:noProof/>
                <w:webHidden/>
              </w:rPr>
            </w:r>
            <w:r w:rsidR="00CB7872">
              <w:rPr>
                <w:noProof/>
                <w:webHidden/>
              </w:rPr>
              <w:fldChar w:fldCharType="separate"/>
            </w:r>
            <w:r w:rsidR="00F075EF">
              <w:rPr>
                <w:noProof/>
                <w:webHidden/>
              </w:rPr>
              <w:t>9</w:t>
            </w:r>
            <w:r w:rsidR="00CB7872">
              <w:rPr>
                <w:noProof/>
                <w:webHidden/>
              </w:rPr>
              <w:fldChar w:fldCharType="end"/>
            </w:r>
          </w:hyperlink>
        </w:p>
        <w:p w14:paraId="12965648" w14:textId="428BA0C1" w:rsidR="00CB7872" w:rsidRDefault="00AD006A">
          <w:pPr>
            <w:pStyle w:val="Inhopg2"/>
            <w:tabs>
              <w:tab w:val="right" w:leader="dot" w:pos="9062"/>
            </w:tabs>
            <w:rPr>
              <w:rFonts w:asciiTheme="minorHAnsi" w:eastAsiaTheme="minorEastAsia" w:hAnsiTheme="minorHAnsi" w:cstheme="minorBidi"/>
              <w:noProof/>
              <w:sz w:val="22"/>
              <w:szCs w:val="22"/>
            </w:rPr>
          </w:pPr>
          <w:hyperlink w:anchor="_Toc121747475" w:history="1">
            <w:r w:rsidR="00CB7872" w:rsidRPr="002E17AD">
              <w:rPr>
                <w:rStyle w:val="Hyperlink"/>
                <w:noProof/>
              </w:rPr>
              <w:t>4.1 Algemeen</w:t>
            </w:r>
            <w:r w:rsidR="00CB7872">
              <w:rPr>
                <w:noProof/>
                <w:webHidden/>
              </w:rPr>
              <w:tab/>
            </w:r>
            <w:r w:rsidR="00CB7872">
              <w:rPr>
                <w:noProof/>
                <w:webHidden/>
              </w:rPr>
              <w:fldChar w:fldCharType="begin"/>
            </w:r>
            <w:r w:rsidR="00CB7872">
              <w:rPr>
                <w:noProof/>
                <w:webHidden/>
              </w:rPr>
              <w:instrText xml:space="preserve"> PAGEREF _Toc121747475 \h </w:instrText>
            </w:r>
            <w:r w:rsidR="00CB7872">
              <w:rPr>
                <w:noProof/>
                <w:webHidden/>
              </w:rPr>
            </w:r>
            <w:r w:rsidR="00CB7872">
              <w:rPr>
                <w:noProof/>
                <w:webHidden/>
              </w:rPr>
              <w:fldChar w:fldCharType="separate"/>
            </w:r>
            <w:r w:rsidR="00F075EF">
              <w:rPr>
                <w:noProof/>
                <w:webHidden/>
              </w:rPr>
              <w:t>9</w:t>
            </w:r>
            <w:r w:rsidR="00CB7872">
              <w:rPr>
                <w:noProof/>
                <w:webHidden/>
              </w:rPr>
              <w:fldChar w:fldCharType="end"/>
            </w:r>
          </w:hyperlink>
        </w:p>
        <w:p w14:paraId="2C78BF28" w14:textId="63BB1806" w:rsidR="00CB7872" w:rsidRDefault="00AD006A">
          <w:pPr>
            <w:pStyle w:val="Inhopg2"/>
            <w:tabs>
              <w:tab w:val="right" w:leader="dot" w:pos="9062"/>
            </w:tabs>
            <w:rPr>
              <w:rFonts w:asciiTheme="minorHAnsi" w:eastAsiaTheme="minorEastAsia" w:hAnsiTheme="minorHAnsi" w:cstheme="minorBidi"/>
              <w:noProof/>
              <w:sz w:val="22"/>
              <w:szCs w:val="22"/>
            </w:rPr>
          </w:pPr>
          <w:hyperlink w:anchor="_Toc121747476" w:history="1">
            <w:r w:rsidR="00CB7872" w:rsidRPr="002E17AD">
              <w:rPr>
                <w:rStyle w:val="Hyperlink"/>
                <w:noProof/>
              </w:rPr>
              <w:t>4.2 Databeheer</w:t>
            </w:r>
            <w:r w:rsidR="00CB7872">
              <w:rPr>
                <w:noProof/>
                <w:webHidden/>
              </w:rPr>
              <w:tab/>
            </w:r>
            <w:r w:rsidR="00CB7872">
              <w:rPr>
                <w:noProof/>
                <w:webHidden/>
              </w:rPr>
              <w:fldChar w:fldCharType="begin"/>
            </w:r>
            <w:r w:rsidR="00CB7872">
              <w:rPr>
                <w:noProof/>
                <w:webHidden/>
              </w:rPr>
              <w:instrText xml:space="preserve"> PAGEREF _Toc121747476 \h </w:instrText>
            </w:r>
            <w:r w:rsidR="00CB7872">
              <w:rPr>
                <w:noProof/>
                <w:webHidden/>
              </w:rPr>
            </w:r>
            <w:r w:rsidR="00CB7872">
              <w:rPr>
                <w:noProof/>
                <w:webHidden/>
              </w:rPr>
              <w:fldChar w:fldCharType="separate"/>
            </w:r>
            <w:r w:rsidR="00F075EF">
              <w:rPr>
                <w:noProof/>
                <w:webHidden/>
              </w:rPr>
              <w:t>11</w:t>
            </w:r>
            <w:r w:rsidR="00CB7872">
              <w:rPr>
                <w:noProof/>
                <w:webHidden/>
              </w:rPr>
              <w:fldChar w:fldCharType="end"/>
            </w:r>
          </w:hyperlink>
        </w:p>
        <w:p w14:paraId="2F4A2172" w14:textId="52047F9D" w:rsidR="00CB7872" w:rsidRDefault="00AD006A">
          <w:pPr>
            <w:pStyle w:val="Inhopg2"/>
            <w:tabs>
              <w:tab w:val="right" w:leader="dot" w:pos="9062"/>
            </w:tabs>
            <w:rPr>
              <w:rFonts w:asciiTheme="minorHAnsi" w:eastAsiaTheme="minorEastAsia" w:hAnsiTheme="minorHAnsi" w:cstheme="minorBidi"/>
              <w:noProof/>
              <w:sz w:val="22"/>
              <w:szCs w:val="22"/>
            </w:rPr>
          </w:pPr>
          <w:hyperlink w:anchor="_Toc121747477" w:history="1">
            <w:r w:rsidR="00CB7872" w:rsidRPr="002E17AD">
              <w:rPr>
                <w:rStyle w:val="Hyperlink"/>
                <w:noProof/>
              </w:rPr>
              <w:t>4.3 Waardebepaling</w:t>
            </w:r>
            <w:r w:rsidR="00CB7872">
              <w:rPr>
                <w:noProof/>
                <w:webHidden/>
              </w:rPr>
              <w:tab/>
            </w:r>
            <w:r w:rsidR="00CB7872">
              <w:rPr>
                <w:noProof/>
                <w:webHidden/>
              </w:rPr>
              <w:fldChar w:fldCharType="begin"/>
            </w:r>
            <w:r w:rsidR="00CB7872">
              <w:rPr>
                <w:noProof/>
                <w:webHidden/>
              </w:rPr>
              <w:instrText xml:space="preserve"> PAGEREF _Toc121747477 \h </w:instrText>
            </w:r>
            <w:r w:rsidR="00CB7872">
              <w:rPr>
                <w:noProof/>
                <w:webHidden/>
              </w:rPr>
            </w:r>
            <w:r w:rsidR="00CB7872">
              <w:rPr>
                <w:noProof/>
                <w:webHidden/>
              </w:rPr>
              <w:fldChar w:fldCharType="separate"/>
            </w:r>
            <w:r w:rsidR="00F075EF">
              <w:rPr>
                <w:noProof/>
                <w:webHidden/>
              </w:rPr>
              <w:t>12</w:t>
            </w:r>
            <w:r w:rsidR="00CB7872">
              <w:rPr>
                <w:noProof/>
                <w:webHidden/>
              </w:rPr>
              <w:fldChar w:fldCharType="end"/>
            </w:r>
          </w:hyperlink>
        </w:p>
        <w:p w14:paraId="49F1E9EE" w14:textId="5640766D" w:rsidR="00CB7872" w:rsidRDefault="00AD006A">
          <w:pPr>
            <w:pStyle w:val="Inhopg2"/>
            <w:tabs>
              <w:tab w:val="right" w:leader="dot" w:pos="9062"/>
            </w:tabs>
            <w:rPr>
              <w:rFonts w:asciiTheme="minorHAnsi" w:eastAsiaTheme="minorEastAsia" w:hAnsiTheme="minorHAnsi" w:cstheme="minorBidi"/>
              <w:noProof/>
              <w:sz w:val="22"/>
              <w:szCs w:val="22"/>
            </w:rPr>
          </w:pPr>
          <w:hyperlink w:anchor="_Toc121747478" w:history="1">
            <w:r w:rsidR="00CB7872" w:rsidRPr="002E17AD">
              <w:rPr>
                <w:rStyle w:val="Hyperlink"/>
                <w:noProof/>
              </w:rPr>
              <w:t>4.4 Klantcontact</w:t>
            </w:r>
            <w:r w:rsidR="00CB7872">
              <w:rPr>
                <w:noProof/>
                <w:webHidden/>
              </w:rPr>
              <w:tab/>
            </w:r>
            <w:r w:rsidR="00CB7872">
              <w:rPr>
                <w:noProof/>
                <w:webHidden/>
              </w:rPr>
              <w:fldChar w:fldCharType="begin"/>
            </w:r>
            <w:r w:rsidR="00CB7872">
              <w:rPr>
                <w:noProof/>
                <w:webHidden/>
              </w:rPr>
              <w:instrText xml:space="preserve"> PAGEREF _Toc121747478 \h </w:instrText>
            </w:r>
            <w:r w:rsidR="00CB7872">
              <w:rPr>
                <w:noProof/>
                <w:webHidden/>
              </w:rPr>
            </w:r>
            <w:r w:rsidR="00CB7872">
              <w:rPr>
                <w:noProof/>
                <w:webHidden/>
              </w:rPr>
              <w:fldChar w:fldCharType="separate"/>
            </w:r>
            <w:r w:rsidR="00F075EF">
              <w:rPr>
                <w:noProof/>
                <w:webHidden/>
              </w:rPr>
              <w:t>15</w:t>
            </w:r>
            <w:r w:rsidR="00CB7872">
              <w:rPr>
                <w:noProof/>
                <w:webHidden/>
              </w:rPr>
              <w:fldChar w:fldCharType="end"/>
            </w:r>
          </w:hyperlink>
        </w:p>
        <w:p w14:paraId="60A82F4B" w14:textId="234F94A8" w:rsidR="00CB7872" w:rsidRDefault="00AD006A">
          <w:pPr>
            <w:pStyle w:val="Inhopg2"/>
            <w:tabs>
              <w:tab w:val="right" w:leader="dot" w:pos="9062"/>
            </w:tabs>
            <w:rPr>
              <w:rFonts w:asciiTheme="minorHAnsi" w:eastAsiaTheme="minorEastAsia" w:hAnsiTheme="minorHAnsi" w:cstheme="minorBidi"/>
              <w:noProof/>
              <w:sz w:val="22"/>
              <w:szCs w:val="22"/>
            </w:rPr>
          </w:pPr>
          <w:hyperlink w:anchor="_Toc121747479" w:history="1">
            <w:r w:rsidR="00CB7872" w:rsidRPr="002E17AD">
              <w:rPr>
                <w:rStyle w:val="Hyperlink"/>
                <w:noProof/>
              </w:rPr>
              <w:t>4.5 Innen</w:t>
            </w:r>
            <w:r w:rsidR="00CB7872">
              <w:rPr>
                <w:noProof/>
                <w:webHidden/>
              </w:rPr>
              <w:tab/>
            </w:r>
            <w:r w:rsidR="00CB7872">
              <w:rPr>
                <w:noProof/>
                <w:webHidden/>
              </w:rPr>
              <w:fldChar w:fldCharType="begin"/>
            </w:r>
            <w:r w:rsidR="00CB7872">
              <w:rPr>
                <w:noProof/>
                <w:webHidden/>
              </w:rPr>
              <w:instrText xml:space="preserve"> PAGEREF _Toc121747479 \h </w:instrText>
            </w:r>
            <w:r w:rsidR="00CB7872">
              <w:rPr>
                <w:noProof/>
                <w:webHidden/>
              </w:rPr>
            </w:r>
            <w:r w:rsidR="00CB7872">
              <w:rPr>
                <w:noProof/>
                <w:webHidden/>
              </w:rPr>
              <w:fldChar w:fldCharType="separate"/>
            </w:r>
            <w:r w:rsidR="00F075EF">
              <w:rPr>
                <w:noProof/>
                <w:webHidden/>
              </w:rPr>
              <w:t>15</w:t>
            </w:r>
            <w:r w:rsidR="00CB7872">
              <w:rPr>
                <w:noProof/>
                <w:webHidden/>
              </w:rPr>
              <w:fldChar w:fldCharType="end"/>
            </w:r>
          </w:hyperlink>
        </w:p>
        <w:p w14:paraId="2F2B364D" w14:textId="7D3DF3C2" w:rsidR="00CB7872" w:rsidRDefault="00AD006A">
          <w:pPr>
            <w:pStyle w:val="Inhopg2"/>
            <w:tabs>
              <w:tab w:val="right" w:leader="dot" w:pos="9062"/>
            </w:tabs>
            <w:rPr>
              <w:rFonts w:asciiTheme="minorHAnsi" w:eastAsiaTheme="minorEastAsia" w:hAnsiTheme="minorHAnsi" w:cstheme="minorBidi"/>
              <w:noProof/>
              <w:sz w:val="22"/>
              <w:szCs w:val="22"/>
            </w:rPr>
          </w:pPr>
          <w:hyperlink w:anchor="_Toc121747480" w:history="1">
            <w:r w:rsidR="00CB7872" w:rsidRPr="002E17AD">
              <w:rPr>
                <w:rStyle w:val="Hyperlink"/>
                <w:noProof/>
              </w:rPr>
              <w:t>4.6 Communicatie</w:t>
            </w:r>
            <w:r w:rsidR="00CB7872">
              <w:rPr>
                <w:noProof/>
                <w:webHidden/>
              </w:rPr>
              <w:tab/>
            </w:r>
            <w:r w:rsidR="00CB7872">
              <w:rPr>
                <w:noProof/>
                <w:webHidden/>
              </w:rPr>
              <w:fldChar w:fldCharType="begin"/>
            </w:r>
            <w:r w:rsidR="00CB7872">
              <w:rPr>
                <w:noProof/>
                <w:webHidden/>
              </w:rPr>
              <w:instrText xml:space="preserve"> PAGEREF _Toc121747480 \h </w:instrText>
            </w:r>
            <w:r w:rsidR="00CB7872">
              <w:rPr>
                <w:noProof/>
                <w:webHidden/>
              </w:rPr>
            </w:r>
            <w:r w:rsidR="00CB7872">
              <w:rPr>
                <w:noProof/>
                <w:webHidden/>
              </w:rPr>
              <w:fldChar w:fldCharType="separate"/>
            </w:r>
            <w:r w:rsidR="00F075EF">
              <w:rPr>
                <w:noProof/>
                <w:webHidden/>
              </w:rPr>
              <w:t>16</w:t>
            </w:r>
            <w:r w:rsidR="00CB7872">
              <w:rPr>
                <w:noProof/>
                <w:webHidden/>
              </w:rPr>
              <w:fldChar w:fldCharType="end"/>
            </w:r>
          </w:hyperlink>
        </w:p>
        <w:p w14:paraId="27CEEA96" w14:textId="18F50510" w:rsidR="00CB7872" w:rsidRDefault="00AD006A">
          <w:pPr>
            <w:pStyle w:val="Inhopg2"/>
            <w:tabs>
              <w:tab w:val="right" w:leader="dot" w:pos="9062"/>
            </w:tabs>
            <w:rPr>
              <w:rFonts w:asciiTheme="minorHAnsi" w:eastAsiaTheme="minorEastAsia" w:hAnsiTheme="minorHAnsi" w:cstheme="minorBidi"/>
              <w:noProof/>
              <w:sz w:val="22"/>
              <w:szCs w:val="22"/>
            </w:rPr>
          </w:pPr>
          <w:hyperlink w:anchor="_Toc121747481" w:history="1">
            <w:r w:rsidR="00CB7872" w:rsidRPr="002E17AD">
              <w:rPr>
                <w:rStyle w:val="Hyperlink"/>
                <w:noProof/>
              </w:rPr>
              <w:t>4.7 Overhead – informatiebeveiliging en informatievoorziening/ICT</w:t>
            </w:r>
            <w:r w:rsidR="00CB7872">
              <w:rPr>
                <w:noProof/>
                <w:webHidden/>
              </w:rPr>
              <w:tab/>
            </w:r>
            <w:r w:rsidR="00CB7872">
              <w:rPr>
                <w:noProof/>
                <w:webHidden/>
              </w:rPr>
              <w:fldChar w:fldCharType="begin"/>
            </w:r>
            <w:r w:rsidR="00CB7872">
              <w:rPr>
                <w:noProof/>
                <w:webHidden/>
              </w:rPr>
              <w:instrText xml:space="preserve"> PAGEREF _Toc121747481 \h </w:instrText>
            </w:r>
            <w:r w:rsidR="00CB7872">
              <w:rPr>
                <w:noProof/>
                <w:webHidden/>
              </w:rPr>
            </w:r>
            <w:r w:rsidR="00CB7872">
              <w:rPr>
                <w:noProof/>
                <w:webHidden/>
              </w:rPr>
              <w:fldChar w:fldCharType="separate"/>
            </w:r>
            <w:r w:rsidR="00F075EF">
              <w:rPr>
                <w:noProof/>
                <w:webHidden/>
              </w:rPr>
              <w:t>16</w:t>
            </w:r>
            <w:r w:rsidR="00CB7872">
              <w:rPr>
                <w:noProof/>
                <w:webHidden/>
              </w:rPr>
              <w:fldChar w:fldCharType="end"/>
            </w:r>
          </w:hyperlink>
        </w:p>
        <w:p w14:paraId="480A4253" w14:textId="69585CA4" w:rsidR="00CB7872" w:rsidRDefault="00AD006A">
          <w:pPr>
            <w:pStyle w:val="Inhopg2"/>
            <w:tabs>
              <w:tab w:val="right" w:leader="dot" w:pos="9062"/>
            </w:tabs>
            <w:rPr>
              <w:rFonts w:asciiTheme="minorHAnsi" w:eastAsiaTheme="minorEastAsia" w:hAnsiTheme="minorHAnsi" w:cstheme="minorBidi"/>
              <w:noProof/>
              <w:sz w:val="22"/>
              <w:szCs w:val="22"/>
            </w:rPr>
          </w:pPr>
          <w:hyperlink w:anchor="_Toc121747482" w:history="1">
            <w:r w:rsidR="00CB7872" w:rsidRPr="002E17AD">
              <w:rPr>
                <w:rStyle w:val="Hyperlink"/>
                <w:noProof/>
              </w:rPr>
              <w:t>4.8 Overhead – personeel</w:t>
            </w:r>
            <w:r w:rsidR="00CB7872">
              <w:rPr>
                <w:noProof/>
                <w:webHidden/>
              </w:rPr>
              <w:tab/>
            </w:r>
            <w:r w:rsidR="00CB7872">
              <w:rPr>
                <w:noProof/>
                <w:webHidden/>
              </w:rPr>
              <w:fldChar w:fldCharType="begin"/>
            </w:r>
            <w:r w:rsidR="00CB7872">
              <w:rPr>
                <w:noProof/>
                <w:webHidden/>
              </w:rPr>
              <w:instrText xml:space="preserve"> PAGEREF _Toc121747482 \h </w:instrText>
            </w:r>
            <w:r w:rsidR="00CB7872">
              <w:rPr>
                <w:noProof/>
                <w:webHidden/>
              </w:rPr>
            </w:r>
            <w:r w:rsidR="00CB7872">
              <w:rPr>
                <w:noProof/>
                <w:webHidden/>
              </w:rPr>
              <w:fldChar w:fldCharType="separate"/>
            </w:r>
            <w:r w:rsidR="00F075EF">
              <w:rPr>
                <w:noProof/>
                <w:webHidden/>
              </w:rPr>
              <w:t>19</w:t>
            </w:r>
            <w:r w:rsidR="00CB7872">
              <w:rPr>
                <w:noProof/>
                <w:webHidden/>
              </w:rPr>
              <w:fldChar w:fldCharType="end"/>
            </w:r>
          </w:hyperlink>
        </w:p>
        <w:p w14:paraId="4C9F4F15" w14:textId="2117D708" w:rsidR="00CB7872" w:rsidRDefault="00AD006A">
          <w:pPr>
            <w:pStyle w:val="Inhopg2"/>
            <w:tabs>
              <w:tab w:val="right" w:leader="dot" w:pos="9062"/>
            </w:tabs>
            <w:rPr>
              <w:rFonts w:asciiTheme="minorHAnsi" w:eastAsiaTheme="minorEastAsia" w:hAnsiTheme="minorHAnsi" w:cstheme="minorBidi"/>
              <w:noProof/>
              <w:sz w:val="22"/>
              <w:szCs w:val="22"/>
            </w:rPr>
          </w:pPr>
          <w:hyperlink w:anchor="_Toc121747483" w:history="1">
            <w:r w:rsidR="00CB7872" w:rsidRPr="002E17AD">
              <w:rPr>
                <w:rStyle w:val="Hyperlink"/>
                <w:noProof/>
              </w:rPr>
              <w:t>4.9 Overhead – overig</w:t>
            </w:r>
            <w:r w:rsidR="00CB7872">
              <w:rPr>
                <w:noProof/>
                <w:webHidden/>
              </w:rPr>
              <w:tab/>
            </w:r>
            <w:r w:rsidR="00CB7872">
              <w:rPr>
                <w:noProof/>
                <w:webHidden/>
              </w:rPr>
              <w:fldChar w:fldCharType="begin"/>
            </w:r>
            <w:r w:rsidR="00CB7872">
              <w:rPr>
                <w:noProof/>
                <w:webHidden/>
              </w:rPr>
              <w:instrText xml:space="preserve"> PAGEREF _Toc121747483 \h </w:instrText>
            </w:r>
            <w:r w:rsidR="00CB7872">
              <w:rPr>
                <w:noProof/>
                <w:webHidden/>
              </w:rPr>
            </w:r>
            <w:r w:rsidR="00CB7872">
              <w:rPr>
                <w:noProof/>
                <w:webHidden/>
              </w:rPr>
              <w:fldChar w:fldCharType="separate"/>
            </w:r>
            <w:r w:rsidR="00F075EF">
              <w:rPr>
                <w:noProof/>
                <w:webHidden/>
              </w:rPr>
              <w:t>20</w:t>
            </w:r>
            <w:r w:rsidR="00CB7872">
              <w:rPr>
                <w:noProof/>
                <w:webHidden/>
              </w:rPr>
              <w:fldChar w:fldCharType="end"/>
            </w:r>
          </w:hyperlink>
        </w:p>
        <w:p w14:paraId="16A9A5CF" w14:textId="7E03DB2B" w:rsidR="00CB7872" w:rsidRDefault="00AD006A">
          <w:pPr>
            <w:pStyle w:val="Inhopg1"/>
            <w:rPr>
              <w:rFonts w:asciiTheme="minorHAnsi" w:eastAsiaTheme="minorEastAsia" w:hAnsiTheme="minorHAnsi" w:cstheme="minorBidi"/>
              <w:b w:val="0"/>
              <w:bCs w:val="0"/>
              <w:noProof/>
              <w:sz w:val="22"/>
              <w:szCs w:val="22"/>
            </w:rPr>
          </w:pPr>
          <w:hyperlink w:anchor="_Toc121747484" w:history="1">
            <w:r w:rsidR="00CB7872" w:rsidRPr="002E17AD">
              <w:rPr>
                <w:rStyle w:val="Hyperlink"/>
                <w:noProof/>
              </w:rPr>
              <w:t>5. Financiële kaders</w:t>
            </w:r>
            <w:r w:rsidR="00CB7872">
              <w:rPr>
                <w:noProof/>
                <w:webHidden/>
              </w:rPr>
              <w:tab/>
            </w:r>
            <w:r w:rsidR="00CB7872">
              <w:rPr>
                <w:noProof/>
                <w:webHidden/>
              </w:rPr>
              <w:fldChar w:fldCharType="begin"/>
            </w:r>
            <w:r w:rsidR="00CB7872">
              <w:rPr>
                <w:noProof/>
                <w:webHidden/>
              </w:rPr>
              <w:instrText xml:space="preserve"> PAGEREF _Toc121747484 \h </w:instrText>
            </w:r>
            <w:r w:rsidR="00CB7872">
              <w:rPr>
                <w:noProof/>
                <w:webHidden/>
              </w:rPr>
            </w:r>
            <w:r w:rsidR="00CB7872">
              <w:rPr>
                <w:noProof/>
                <w:webHidden/>
              </w:rPr>
              <w:fldChar w:fldCharType="separate"/>
            </w:r>
            <w:r w:rsidR="00F075EF">
              <w:rPr>
                <w:noProof/>
                <w:webHidden/>
              </w:rPr>
              <w:t>21</w:t>
            </w:r>
            <w:r w:rsidR="00CB7872">
              <w:rPr>
                <w:noProof/>
                <w:webHidden/>
              </w:rPr>
              <w:fldChar w:fldCharType="end"/>
            </w:r>
          </w:hyperlink>
        </w:p>
        <w:p w14:paraId="054AAD20" w14:textId="7F545774" w:rsidR="00CB7872" w:rsidRDefault="00AD006A">
          <w:pPr>
            <w:pStyle w:val="Inhopg1"/>
            <w:rPr>
              <w:rFonts w:asciiTheme="minorHAnsi" w:eastAsiaTheme="minorEastAsia" w:hAnsiTheme="minorHAnsi" w:cstheme="minorBidi"/>
              <w:b w:val="0"/>
              <w:bCs w:val="0"/>
              <w:noProof/>
              <w:sz w:val="22"/>
              <w:szCs w:val="22"/>
            </w:rPr>
          </w:pPr>
          <w:hyperlink w:anchor="_Toc121747485" w:history="1">
            <w:r w:rsidR="00CB7872" w:rsidRPr="002E17AD">
              <w:rPr>
                <w:rStyle w:val="Hyperlink"/>
                <w:noProof/>
              </w:rPr>
              <w:t>6. Vaststellingsbesluit</w:t>
            </w:r>
            <w:r w:rsidR="00CB7872">
              <w:rPr>
                <w:noProof/>
                <w:webHidden/>
              </w:rPr>
              <w:tab/>
            </w:r>
            <w:r w:rsidR="00CB7872">
              <w:rPr>
                <w:noProof/>
                <w:webHidden/>
              </w:rPr>
              <w:fldChar w:fldCharType="begin"/>
            </w:r>
            <w:r w:rsidR="00CB7872">
              <w:rPr>
                <w:noProof/>
                <w:webHidden/>
              </w:rPr>
              <w:instrText xml:space="preserve"> PAGEREF _Toc121747485 \h </w:instrText>
            </w:r>
            <w:r w:rsidR="00CB7872">
              <w:rPr>
                <w:noProof/>
                <w:webHidden/>
              </w:rPr>
            </w:r>
            <w:r w:rsidR="00CB7872">
              <w:rPr>
                <w:noProof/>
                <w:webHidden/>
              </w:rPr>
              <w:fldChar w:fldCharType="separate"/>
            </w:r>
            <w:r w:rsidR="00F075EF">
              <w:rPr>
                <w:noProof/>
                <w:webHidden/>
              </w:rPr>
              <w:t>25</w:t>
            </w:r>
            <w:r w:rsidR="00CB7872">
              <w:rPr>
                <w:noProof/>
                <w:webHidden/>
              </w:rPr>
              <w:fldChar w:fldCharType="end"/>
            </w:r>
          </w:hyperlink>
        </w:p>
        <w:p w14:paraId="337ECA40" w14:textId="1CE05D93" w:rsidR="11F9AEBF" w:rsidRDefault="007D3E7E" w:rsidP="3BFBF894">
          <w:pPr>
            <w:pStyle w:val="Inhopg1"/>
            <w:tabs>
              <w:tab w:val="clear" w:pos="9062"/>
              <w:tab w:val="right" w:leader="dot" w:pos="9060"/>
            </w:tabs>
            <w:rPr>
              <w:rStyle w:val="Hyperlink"/>
            </w:rPr>
          </w:pPr>
          <w:r>
            <w:fldChar w:fldCharType="end"/>
          </w:r>
        </w:p>
      </w:sdtContent>
    </w:sdt>
    <w:p w14:paraId="2E47A451" w14:textId="563ABB78" w:rsidR="00A801A0" w:rsidRPr="007839DE" w:rsidRDefault="00A801A0" w:rsidP="00805DFF">
      <w:pPr>
        <w:rPr>
          <w:highlight w:val="yellow"/>
        </w:rPr>
      </w:pPr>
    </w:p>
    <w:p w14:paraId="0D778AF9" w14:textId="77777777" w:rsidR="000577D3" w:rsidRPr="007839DE" w:rsidRDefault="000577D3" w:rsidP="00E02EB9">
      <w:pPr>
        <w:pStyle w:val="Kopvaninhoudsopgave"/>
        <w:rPr>
          <w:highlight w:val="yellow"/>
        </w:rPr>
      </w:pPr>
    </w:p>
    <w:p w14:paraId="3E1B3A3D" w14:textId="77777777" w:rsidR="00B837F9" w:rsidRPr="007839DE" w:rsidRDefault="00B837F9" w:rsidP="009A4B9E">
      <w:pPr>
        <w:pStyle w:val="Kop1"/>
        <w:rPr>
          <w:b/>
          <w:color w:val="1F497D" w:themeColor="text2"/>
          <w:highlight w:val="yellow"/>
        </w:rPr>
      </w:pPr>
      <w:bookmarkStart w:id="1" w:name="_Toc9930711"/>
      <w:bookmarkStart w:id="2" w:name="_Toc9933387"/>
      <w:r w:rsidRPr="007839DE">
        <w:rPr>
          <w:highlight w:val="yellow"/>
        </w:rPr>
        <w:br w:type="page"/>
      </w:r>
    </w:p>
    <w:p w14:paraId="35961073" w14:textId="50FEF4D9" w:rsidR="009964B6" w:rsidRPr="007839DE" w:rsidRDefault="3BFBF894" w:rsidP="009A4B9E">
      <w:pPr>
        <w:pStyle w:val="Kop1"/>
      </w:pPr>
      <w:bookmarkStart w:id="3" w:name="_Toc9933467"/>
      <w:bookmarkStart w:id="4" w:name="_Toc121747465"/>
      <w:r>
        <w:lastRenderedPageBreak/>
        <w:t xml:space="preserve">1. </w:t>
      </w:r>
      <w:bookmarkEnd w:id="1"/>
      <w:bookmarkEnd w:id="2"/>
      <w:bookmarkEnd w:id="3"/>
      <w:r>
        <w:t>Voorwoord</w:t>
      </w:r>
      <w:bookmarkEnd w:id="4"/>
      <w:r>
        <w:t xml:space="preserve"> </w:t>
      </w:r>
    </w:p>
    <w:p w14:paraId="62A4A545" w14:textId="6A4A942B" w:rsidR="00E41E8C" w:rsidRPr="0058393C" w:rsidRDefault="00E41E8C" w:rsidP="3BFBF894">
      <w:pPr>
        <w:jc w:val="both"/>
        <w:rPr>
          <w:rFonts w:asciiTheme="minorHAnsi" w:eastAsia="Lucida Sans" w:hAnsiTheme="minorHAnsi" w:cstheme="minorHAnsi"/>
          <w:szCs w:val="20"/>
        </w:rPr>
      </w:pPr>
    </w:p>
    <w:p w14:paraId="6DBD91FB" w14:textId="134ED3BD" w:rsidR="009B6E4B" w:rsidRDefault="7B3DB2D0" w:rsidP="7B3DB2D0">
      <w:pPr>
        <w:spacing w:line="276" w:lineRule="auto"/>
        <w:rPr>
          <w:rFonts w:asciiTheme="minorHAnsi" w:eastAsiaTheme="minorEastAsia" w:hAnsiTheme="minorHAnsi" w:cstheme="minorBidi"/>
          <w:szCs w:val="20"/>
        </w:rPr>
      </w:pPr>
      <w:r w:rsidRPr="7B3DB2D0">
        <w:rPr>
          <w:rFonts w:asciiTheme="minorHAnsi" w:eastAsiaTheme="minorEastAsia" w:hAnsiTheme="minorHAnsi" w:cstheme="minorBidi"/>
          <w:szCs w:val="20"/>
        </w:rPr>
        <w:t xml:space="preserve">Hierbij bieden wij u de Kadernota 2024-2027 van Belastingsamenwerking gemeenten en hoogheemraadschap Utrecht (BghU) aan. </w:t>
      </w:r>
    </w:p>
    <w:p w14:paraId="6C26C31D" w14:textId="6E84C0E5" w:rsidR="009B6E4B" w:rsidRDefault="7B3DB2D0" w:rsidP="7B3DB2D0">
      <w:pPr>
        <w:spacing w:line="276" w:lineRule="auto"/>
        <w:rPr>
          <w:rFonts w:asciiTheme="minorHAnsi" w:eastAsiaTheme="minorEastAsia" w:hAnsiTheme="minorHAnsi" w:cstheme="minorBidi"/>
          <w:szCs w:val="20"/>
        </w:rPr>
      </w:pPr>
      <w:r w:rsidRPr="7B3DB2D0">
        <w:rPr>
          <w:rFonts w:asciiTheme="minorHAnsi" w:eastAsiaTheme="minorEastAsia" w:hAnsiTheme="minorHAnsi" w:cstheme="minorBidi"/>
          <w:szCs w:val="20"/>
        </w:rPr>
        <w:t>Het doel van deze nota is het bieden van de kaders voor het opstellen van de begroting 2024 en het meerjarenperspectief 2025-2027. Deze kaders betreffen (beleids)ontwikkelingen die in de begroting verder uitgewerkt en financieel vertaald worden en de financiële uitgangspunten voor het opstellen van de begroting.</w:t>
      </w:r>
    </w:p>
    <w:p w14:paraId="7C3DA4F1" w14:textId="63433A2D" w:rsidR="16FBBEFD" w:rsidRPr="009D4DD1" w:rsidRDefault="00217A3A" w:rsidP="009D4DD1">
      <w:pPr>
        <w:pStyle w:val="Kop2"/>
        <w:rPr>
          <w:rFonts w:eastAsiaTheme="minorEastAsia"/>
        </w:rPr>
      </w:pPr>
      <w:bookmarkStart w:id="5" w:name="_Toc121747466"/>
      <w:r>
        <w:rPr>
          <w:rFonts w:eastAsiaTheme="minorEastAsia"/>
        </w:rPr>
        <w:t xml:space="preserve">1.1 </w:t>
      </w:r>
      <w:r w:rsidR="7B3DB2D0" w:rsidRPr="009D4DD1">
        <w:rPr>
          <w:rFonts w:eastAsiaTheme="minorEastAsia"/>
        </w:rPr>
        <w:t>Wat ging eraan vooraf</w:t>
      </w:r>
      <w:bookmarkEnd w:id="5"/>
    </w:p>
    <w:p w14:paraId="5B6F2E12" w14:textId="07693E89" w:rsidR="6F850257" w:rsidRDefault="7B3DB2D0" w:rsidP="7B3DB2D0">
      <w:pPr>
        <w:spacing w:line="276" w:lineRule="auto"/>
        <w:rPr>
          <w:rFonts w:asciiTheme="minorHAnsi" w:eastAsiaTheme="minorEastAsia" w:hAnsiTheme="minorHAnsi" w:cstheme="minorBidi"/>
          <w:szCs w:val="20"/>
        </w:rPr>
      </w:pPr>
      <w:r w:rsidRPr="7B3DB2D0">
        <w:rPr>
          <w:rFonts w:ascii="Lucida Sans" w:eastAsia="Lucida Sans" w:hAnsi="Lucida Sans" w:cs="Lucida Sans"/>
          <w:sz w:val="18"/>
          <w:szCs w:val="18"/>
        </w:rPr>
        <w:t>B</w:t>
      </w:r>
      <w:r w:rsidRPr="7B3DB2D0">
        <w:rPr>
          <w:rFonts w:asciiTheme="minorHAnsi" w:eastAsiaTheme="minorEastAsia" w:hAnsiTheme="minorHAnsi" w:cstheme="minorBidi"/>
          <w:szCs w:val="20"/>
        </w:rPr>
        <w:t>ghU bestaat als belastingsamenwerking sinds 2014 en is sindsdien flink uitgebreid en als organisatie gegroeid. BghU wil goede en betrouwbare dienstverlening en efficiënt objectenbeheer blijvend kunnen bieden aan haar deelnemers en inwoners.</w:t>
      </w:r>
    </w:p>
    <w:p w14:paraId="2882254E" w14:textId="2D484DEA" w:rsidR="6F850257" w:rsidRDefault="7B3DB2D0" w:rsidP="7B3DB2D0">
      <w:pPr>
        <w:spacing w:line="276" w:lineRule="auto"/>
        <w:rPr>
          <w:rFonts w:asciiTheme="minorHAnsi" w:eastAsiaTheme="minorEastAsia" w:hAnsiTheme="minorHAnsi" w:cstheme="minorBidi"/>
          <w:szCs w:val="20"/>
        </w:rPr>
      </w:pPr>
      <w:r w:rsidRPr="7B3DB2D0">
        <w:rPr>
          <w:rFonts w:asciiTheme="minorHAnsi" w:eastAsiaTheme="minorEastAsia" w:hAnsiTheme="minorHAnsi" w:cstheme="minorBidi"/>
          <w:szCs w:val="20"/>
        </w:rPr>
        <w:t>Om dit te behalen is de afgelopen periode naast de reguliere dienstverlening, gewerkt aan procesverbeteringen en de implementatie van de aanbestedingen van belasting- en waarderingssoftware. Het gebruik van de nieuwe software gaat gepaard met werken met efficiënte, geautomatiseerde werkprocessen en helpt daarbij om onze uitvoeringskosten zo laag mogelijk te houden. Als zichtbaar resultaat van de interne beheersing streven we ernaar om het oordeel ‘goed’ van de Waarderingskamer te halen. Hier wordt op basis van een plan in afstemming met de Waarderingskamer naartoe gewerkt.</w:t>
      </w:r>
    </w:p>
    <w:p w14:paraId="7D7CCE0D" w14:textId="64176509" w:rsidR="16FBBEFD" w:rsidRDefault="7B3DB2D0" w:rsidP="7B3DB2D0">
      <w:pPr>
        <w:spacing w:line="276" w:lineRule="auto"/>
        <w:rPr>
          <w:rFonts w:asciiTheme="minorHAnsi" w:eastAsiaTheme="minorEastAsia" w:hAnsiTheme="minorHAnsi" w:cstheme="minorBidi"/>
          <w:szCs w:val="20"/>
        </w:rPr>
      </w:pPr>
      <w:r w:rsidRPr="7B3DB2D0">
        <w:rPr>
          <w:rFonts w:asciiTheme="minorHAnsi" w:eastAsiaTheme="minorEastAsia" w:hAnsiTheme="minorHAnsi" w:cstheme="minorBidi"/>
          <w:szCs w:val="20"/>
        </w:rPr>
        <w:t>Het bieden van efficiënt objectenbeheer hoort enerzijds bij goede taakuitvoering van de basisregistraties en lokale belastingen en anderzijds kunnen deelnemende gemeenten deze regionale registratie inzetten voor hun beleidsvoorbereiding richting de samengestelde objectenregistratie (SOR). Voor alle gemeentelijke deelnemers meten we in voor ieders BAG administratie en verzorgt BghU deze gehele administratie naar tevredenheid voor de gemeente Lopik.</w:t>
      </w:r>
    </w:p>
    <w:p w14:paraId="43B10D6A" w14:textId="0DCA63A6" w:rsidR="16FBBEFD" w:rsidRDefault="00217A3A" w:rsidP="7B3DB2D0">
      <w:pPr>
        <w:pStyle w:val="Kop2"/>
        <w:rPr>
          <w:rFonts w:eastAsiaTheme="minorEastAsia" w:cstheme="minorBidi"/>
        </w:rPr>
      </w:pPr>
      <w:bookmarkStart w:id="6" w:name="_Toc121747467"/>
      <w:r>
        <w:rPr>
          <w:rFonts w:eastAsiaTheme="minorEastAsia" w:cstheme="minorBidi"/>
        </w:rPr>
        <w:t xml:space="preserve">1.2 </w:t>
      </w:r>
      <w:r w:rsidR="7B3DB2D0" w:rsidRPr="7B3DB2D0">
        <w:rPr>
          <w:rFonts w:eastAsiaTheme="minorEastAsia" w:cstheme="minorBidi"/>
        </w:rPr>
        <w:t>Meerjarenperspectief 2024-2027</w:t>
      </w:r>
      <w:bookmarkEnd w:id="6"/>
    </w:p>
    <w:p w14:paraId="70429153" w14:textId="61C4AFD2" w:rsidR="16FBBEFD" w:rsidRDefault="7B3DB2D0" w:rsidP="7B3DB2D0">
      <w:pPr>
        <w:spacing w:line="276" w:lineRule="auto"/>
        <w:rPr>
          <w:rFonts w:asciiTheme="minorHAnsi" w:eastAsiaTheme="minorEastAsia" w:hAnsiTheme="minorHAnsi" w:cstheme="minorBidi"/>
          <w:szCs w:val="20"/>
        </w:rPr>
      </w:pPr>
      <w:r w:rsidRPr="7B3DB2D0">
        <w:rPr>
          <w:rFonts w:asciiTheme="minorHAnsi" w:eastAsiaTheme="minorEastAsia" w:hAnsiTheme="minorHAnsi" w:cstheme="minorBidi"/>
          <w:szCs w:val="20"/>
        </w:rPr>
        <w:t>Door het bieden van goede en betrouwbare dienstverlening en efficiënt objectenbeheer maakt BghU het voor haar deelnemers mogelijk om omliggende gemeenten, inliggend in het werkgebied, toe te laten treden en de efficiencyvoordelen daarmee regionaal breder te benutten. Daarnaast is het mogelijk voor de deelnemers om meer synergie in objectenbeheer te bereiken.</w:t>
      </w:r>
    </w:p>
    <w:p w14:paraId="5A5CE5AE" w14:textId="3779AF4A" w:rsidR="42C17401" w:rsidRDefault="7B3DB2D0" w:rsidP="7B3DB2D0">
      <w:pPr>
        <w:spacing w:line="276" w:lineRule="auto"/>
        <w:rPr>
          <w:rFonts w:asciiTheme="minorHAnsi" w:eastAsiaTheme="minorEastAsia" w:hAnsiTheme="minorHAnsi" w:cstheme="minorBidi"/>
          <w:szCs w:val="20"/>
        </w:rPr>
      </w:pPr>
      <w:r w:rsidRPr="7B3DB2D0">
        <w:rPr>
          <w:rFonts w:asciiTheme="minorHAnsi" w:eastAsiaTheme="minorEastAsia" w:hAnsiTheme="minorHAnsi" w:cstheme="minorBidi"/>
          <w:szCs w:val="20"/>
        </w:rPr>
        <w:t>Door onze efficiënte uitvoering kan BghU zich blijven inzetten om enerzijds de juiste belastingopbrengsten voor de deelnemers te realiseren en anderzijds maatwerk te bieden aan inwoners.</w:t>
      </w:r>
    </w:p>
    <w:p w14:paraId="63B287B4" w14:textId="13FA4476" w:rsidR="7C14E93F" w:rsidRDefault="7B3DB2D0" w:rsidP="7B3DB2D0">
      <w:pPr>
        <w:spacing w:line="276" w:lineRule="auto"/>
        <w:rPr>
          <w:rFonts w:asciiTheme="minorHAnsi" w:eastAsiaTheme="minorEastAsia" w:hAnsiTheme="minorHAnsi" w:cstheme="minorBidi"/>
          <w:szCs w:val="20"/>
        </w:rPr>
      </w:pPr>
      <w:r w:rsidRPr="7B3DB2D0">
        <w:rPr>
          <w:rFonts w:asciiTheme="minorHAnsi" w:eastAsiaTheme="minorEastAsia" w:hAnsiTheme="minorHAnsi" w:cstheme="minorBidi"/>
          <w:szCs w:val="20"/>
        </w:rPr>
        <w:t>De organisatie richt zich de komende periode op het werken volgens de aangepaste processen en met de nieuwe software. Daarnaast is de komende jaren nog een aantal aanbestedingen en inkopen te implementeren. Naast deze gehele ICT-transitie is er ruimte gecreëerd voor kennis- en talentontwikkeling voor persoonlijke ontwikkeling en om blijvend goede kwaliteit te bieden.</w:t>
      </w:r>
    </w:p>
    <w:p w14:paraId="07C9C6B2" w14:textId="55ED3E41" w:rsidR="2D3EA217" w:rsidRDefault="7B3DB2D0" w:rsidP="7B3DB2D0">
      <w:pPr>
        <w:spacing w:line="276" w:lineRule="auto"/>
        <w:rPr>
          <w:rFonts w:asciiTheme="minorHAnsi" w:eastAsiaTheme="minorEastAsia" w:hAnsiTheme="minorHAnsi" w:cstheme="minorBidi"/>
          <w:szCs w:val="20"/>
        </w:rPr>
      </w:pPr>
      <w:r w:rsidRPr="7B3DB2D0">
        <w:rPr>
          <w:rFonts w:asciiTheme="minorHAnsi" w:eastAsiaTheme="minorEastAsia" w:hAnsiTheme="minorHAnsi" w:cstheme="minorBidi"/>
          <w:szCs w:val="20"/>
        </w:rPr>
        <w:t>Aan het eind van deze planperiode is het streven om ervaringen op te doen met onafhankelijk kwaliteitsonderzoek om vervolgens de kwaliteitsborging van onze processen aan te tonen. Tevens verkennen we een stap verder, ter ondersteuning van onze strategiebepaling en richting te blijven geven in de verdere organisatieontwikkeling.</w:t>
      </w:r>
    </w:p>
    <w:p w14:paraId="76AAAADB" w14:textId="36132778" w:rsidR="2D3EA217" w:rsidRDefault="2D3EA217" w:rsidP="7B3DB2D0">
      <w:pPr>
        <w:spacing w:line="276" w:lineRule="auto"/>
        <w:rPr>
          <w:rFonts w:asciiTheme="minorHAnsi" w:eastAsiaTheme="minorEastAsia" w:hAnsiTheme="minorHAnsi" w:cstheme="minorBidi"/>
          <w:szCs w:val="20"/>
        </w:rPr>
      </w:pPr>
    </w:p>
    <w:p w14:paraId="362B47C1" w14:textId="2B54802A" w:rsidR="16FBBEFD" w:rsidRDefault="7B3DB2D0" w:rsidP="7B3DB2D0">
      <w:pPr>
        <w:spacing w:line="276" w:lineRule="auto"/>
        <w:rPr>
          <w:rFonts w:asciiTheme="minorHAnsi" w:eastAsiaTheme="minorEastAsia" w:hAnsiTheme="minorHAnsi" w:cstheme="minorBidi"/>
          <w:szCs w:val="20"/>
        </w:rPr>
      </w:pPr>
      <w:r w:rsidRPr="7B3DB2D0">
        <w:rPr>
          <w:rFonts w:asciiTheme="minorHAnsi" w:eastAsiaTheme="minorEastAsia" w:hAnsiTheme="minorHAnsi" w:cstheme="minorBidi"/>
          <w:szCs w:val="20"/>
        </w:rPr>
        <w:t>Wij bieden u komend voorjaar de ontwerpbegroting 2024 inclusief het meerjarenperspectief 2025-2027 aan, voordat deze formeel voor zienswijze aan de gemeenteraden en provinciale staten wordt gezonden.</w:t>
      </w:r>
    </w:p>
    <w:p w14:paraId="6504364D" w14:textId="7537FC14" w:rsidR="16FBBEFD" w:rsidRDefault="16FBBEFD" w:rsidP="16FBBEFD">
      <w:pPr>
        <w:rPr>
          <w:rFonts w:asciiTheme="minorHAnsi" w:hAnsiTheme="minorHAnsi" w:cstheme="minorBidi"/>
        </w:rPr>
      </w:pPr>
    </w:p>
    <w:p w14:paraId="79A071A2" w14:textId="77777777" w:rsidR="009B6E4B" w:rsidRDefault="009B6E4B" w:rsidP="00ED1B8D">
      <w:pPr>
        <w:rPr>
          <w:rFonts w:asciiTheme="minorHAnsi" w:hAnsiTheme="minorHAnsi" w:cstheme="minorBidi"/>
        </w:rPr>
      </w:pPr>
    </w:p>
    <w:p w14:paraId="74C55767" w14:textId="1442D1D2" w:rsidR="000577D3" w:rsidRPr="007839DE" w:rsidRDefault="00ED1B8D" w:rsidP="6F850257">
      <w:pPr>
        <w:rPr>
          <w:rFonts w:asciiTheme="minorHAnsi" w:eastAsia="Lucida Sans" w:hAnsiTheme="minorHAnsi" w:cstheme="minorBidi"/>
        </w:rPr>
      </w:pPr>
      <w:r>
        <w:br/>
      </w:r>
      <w:r>
        <w:br/>
      </w:r>
    </w:p>
    <w:p w14:paraId="51B6FEEE" w14:textId="77777777" w:rsidR="000577D3" w:rsidRPr="007839DE" w:rsidRDefault="000577D3" w:rsidP="000577D3">
      <w:pPr>
        <w:rPr>
          <w:rFonts w:ascii="Garamond" w:hAnsi="Garamond" w:cs="Helvetica-Bold"/>
          <w:bCs/>
          <w:iCs/>
          <w:highlight w:val="yellow"/>
        </w:rPr>
      </w:pPr>
    </w:p>
    <w:p w14:paraId="745EDBAE" w14:textId="77777777" w:rsidR="00A801A0" w:rsidRPr="007839DE" w:rsidRDefault="00A801A0">
      <w:pPr>
        <w:spacing w:after="200" w:line="276" w:lineRule="auto"/>
        <w:rPr>
          <w:rFonts w:ascii="Garamond" w:hAnsi="Garamond" w:cs="Helvetica-Bold"/>
          <w:bCs/>
          <w:iCs/>
          <w:highlight w:val="yellow"/>
        </w:rPr>
      </w:pPr>
      <w:r w:rsidRPr="007839DE">
        <w:rPr>
          <w:rFonts w:ascii="Garamond" w:hAnsi="Garamond" w:cs="Helvetica-Bold"/>
          <w:bCs/>
          <w:iCs/>
          <w:highlight w:val="yellow"/>
        </w:rPr>
        <w:br w:type="page"/>
      </w:r>
    </w:p>
    <w:p w14:paraId="761E9FA3" w14:textId="76C59290" w:rsidR="000577D3" w:rsidRPr="007839DE" w:rsidRDefault="3BFBF894" w:rsidP="009A4B9E">
      <w:pPr>
        <w:pStyle w:val="Kop1"/>
      </w:pPr>
      <w:bookmarkStart w:id="7" w:name="_Toc121747468"/>
      <w:r>
        <w:lastRenderedPageBreak/>
        <w:t xml:space="preserve">2. </w:t>
      </w:r>
      <w:r w:rsidR="00611C1D">
        <w:t>Organisatie</w:t>
      </w:r>
      <w:bookmarkEnd w:id="7"/>
      <w:r>
        <w:t xml:space="preserve"> </w:t>
      </w:r>
    </w:p>
    <w:p w14:paraId="0FDF331E" w14:textId="1C7F6F28" w:rsidR="00505B0D" w:rsidRPr="007839DE" w:rsidRDefault="16FBBEFD" w:rsidP="002E5370">
      <w:pPr>
        <w:pStyle w:val="Kop2"/>
        <w:rPr>
          <w:color w:val="0072BA"/>
        </w:rPr>
      </w:pPr>
      <w:bookmarkStart w:id="8" w:name="_Toc9930713"/>
      <w:bookmarkStart w:id="9" w:name="_Toc9933389"/>
      <w:bookmarkStart w:id="10" w:name="_Toc9933469"/>
      <w:bookmarkStart w:id="11" w:name="_Toc121747469"/>
      <w:r>
        <w:t xml:space="preserve">2.1 </w:t>
      </w:r>
      <w:bookmarkEnd w:id="8"/>
      <w:bookmarkEnd w:id="9"/>
      <w:bookmarkEnd w:id="10"/>
      <w:r>
        <w:t>Missie en Visie</w:t>
      </w:r>
      <w:bookmarkEnd w:id="11"/>
    </w:p>
    <w:p w14:paraId="03FF30A0" w14:textId="2481A700" w:rsidR="009964B6" w:rsidRPr="006F797D" w:rsidRDefault="7B3DB2D0" w:rsidP="7B3DB2D0">
      <w:pPr>
        <w:rPr>
          <w:rFonts w:asciiTheme="minorHAnsi" w:eastAsiaTheme="minorEastAsia" w:hAnsiTheme="minorHAnsi" w:cstheme="minorBidi"/>
          <w:szCs w:val="20"/>
        </w:rPr>
      </w:pPr>
      <w:r w:rsidRPr="7B3DB2D0">
        <w:rPr>
          <w:rFonts w:asciiTheme="minorHAnsi" w:eastAsiaTheme="minorEastAsia" w:hAnsiTheme="minorHAnsi" w:cstheme="minorBidi"/>
          <w:szCs w:val="20"/>
        </w:rPr>
        <w:t>Onze belastingsamenwerking is in 2014 formeel gestart en is een samenwerking van de gemeenten Bunnik, De Bilt, Houten, Lopik, Nieuwegein, Stichtse Vecht, Utrecht, Utrechtse Heuvelrug en Zeist en het Hoogheemraadschap de Stichtse Rijnlanden. Bij aanvang van deze planperiode viert BghU haar 10-jarig bestaan.</w:t>
      </w:r>
    </w:p>
    <w:p w14:paraId="654E2A04" w14:textId="3F17C62B" w:rsidR="009964B6" w:rsidRPr="006F797D" w:rsidRDefault="7B3DB2D0" w:rsidP="7B3DB2D0">
      <w:pPr>
        <w:rPr>
          <w:rFonts w:asciiTheme="minorHAnsi" w:eastAsiaTheme="minorEastAsia" w:hAnsiTheme="minorHAnsi" w:cstheme="minorBidi"/>
          <w:szCs w:val="20"/>
        </w:rPr>
      </w:pPr>
      <w:r w:rsidRPr="7B3DB2D0">
        <w:rPr>
          <w:rFonts w:asciiTheme="minorHAnsi" w:eastAsiaTheme="minorEastAsia" w:hAnsiTheme="minorHAnsi" w:cstheme="minorBidi"/>
          <w:szCs w:val="20"/>
        </w:rPr>
        <w:t xml:space="preserve"> </w:t>
      </w:r>
    </w:p>
    <w:p w14:paraId="098E9D7A" w14:textId="030B8D4C" w:rsidR="009964B6" w:rsidRPr="006F797D" w:rsidRDefault="7B3DB2D0" w:rsidP="7B3DB2D0">
      <w:pPr>
        <w:jc w:val="both"/>
        <w:rPr>
          <w:rFonts w:asciiTheme="minorHAnsi" w:eastAsiaTheme="minorEastAsia" w:hAnsiTheme="minorHAnsi" w:cstheme="minorBidi"/>
          <w:szCs w:val="20"/>
        </w:rPr>
      </w:pPr>
      <w:r w:rsidRPr="7B3DB2D0">
        <w:rPr>
          <w:rFonts w:asciiTheme="minorHAnsi" w:eastAsiaTheme="minorEastAsia" w:hAnsiTheme="minorHAnsi" w:cstheme="minorBidi"/>
          <w:szCs w:val="20"/>
        </w:rPr>
        <w:t xml:space="preserve">Als samenwerkingsverband verzorgen wij namens de deelnemers de heffing en invordering van lokale belastingen binnen het werkgebied en stellen we jaarlijks de WOZ-waarden vast van alle onroerende zaken voor onze deelnemers. Tevens verzorgen wij het inmeten voor de BAG en verzorgen wij het BAG beheer voor een gemeente. In het overzicht bij 2.3 worden de taken per deelnemer schematisch weergegeven. </w:t>
      </w:r>
    </w:p>
    <w:p w14:paraId="0F4072D9" w14:textId="118B343A" w:rsidR="009964B6" w:rsidRPr="006F797D" w:rsidRDefault="7B3DB2D0" w:rsidP="7B3DB2D0">
      <w:pPr>
        <w:jc w:val="both"/>
        <w:rPr>
          <w:rFonts w:asciiTheme="minorHAnsi" w:eastAsiaTheme="minorEastAsia" w:hAnsiTheme="minorHAnsi" w:cstheme="minorBidi"/>
          <w:szCs w:val="20"/>
        </w:rPr>
      </w:pPr>
      <w:r w:rsidRPr="7B3DB2D0">
        <w:rPr>
          <w:rFonts w:asciiTheme="minorHAnsi" w:eastAsiaTheme="minorEastAsia" w:hAnsiTheme="minorHAnsi" w:cstheme="minorBidi"/>
          <w:szCs w:val="20"/>
        </w:rPr>
        <w:t xml:space="preserve"> </w:t>
      </w:r>
    </w:p>
    <w:p w14:paraId="6AFCA6E5" w14:textId="032281F1" w:rsidR="009964B6" w:rsidRPr="006F797D" w:rsidRDefault="7B3DB2D0" w:rsidP="7B3DB2D0">
      <w:pPr>
        <w:jc w:val="both"/>
        <w:rPr>
          <w:rFonts w:asciiTheme="minorHAnsi" w:eastAsiaTheme="minorEastAsia" w:hAnsiTheme="minorHAnsi" w:cstheme="minorBidi"/>
          <w:szCs w:val="20"/>
        </w:rPr>
      </w:pPr>
      <w:r w:rsidRPr="7B3DB2D0">
        <w:rPr>
          <w:rFonts w:asciiTheme="minorHAnsi" w:eastAsiaTheme="minorEastAsia" w:hAnsiTheme="minorHAnsi" w:cstheme="minorBidi"/>
          <w:szCs w:val="20"/>
        </w:rPr>
        <w:t xml:space="preserve">De kernwaarden van onze belastingsamenwerking zijn: </w:t>
      </w:r>
    </w:p>
    <w:p w14:paraId="37B8BB80" w14:textId="6B31352E" w:rsidR="009964B6" w:rsidRPr="006F797D" w:rsidRDefault="7B3DB2D0" w:rsidP="7B3DB2D0">
      <w:pPr>
        <w:pStyle w:val="Lijstalinea"/>
        <w:numPr>
          <w:ilvl w:val="0"/>
          <w:numId w:val="4"/>
        </w:numPr>
        <w:rPr>
          <w:rFonts w:asciiTheme="minorHAnsi" w:eastAsiaTheme="minorEastAsia" w:hAnsiTheme="minorHAnsi" w:cstheme="minorBidi"/>
          <w:szCs w:val="20"/>
        </w:rPr>
      </w:pPr>
      <w:r w:rsidRPr="7B3DB2D0">
        <w:rPr>
          <w:rFonts w:asciiTheme="minorHAnsi" w:eastAsiaTheme="minorEastAsia" w:hAnsiTheme="minorHAnsi" w:cstheme="minorBidi"/>
          <w:szCs w:val="20"/>
        </w:rPr>
        <w:t>Klantgericht: de klant staat centraal. Ons handelen is gericht op de wensen en behoeften van de deelnemers, de interne of externe ‘klant’;</w:t>
      </w:r>
    </w:p>
    <w:p w14:paraId="37E148C4" w14:textId="59C76297" w:rsidR="009964B6" w:rsidRPr="006F797D" w:rsidRDefault="7B3DB2D0" w:rsidP="7B3DB2D0">
      <w:pPr>
        <w:pStyle w:val="Lijstalinea"/>
        <w:numPr>
          <w:ilvl w:val="0"/>
          <w:numId w:val="4"/>
        </w:numPr>
        <w:rPr>
          <w:rFonts w:asciiTheme="minorHAnsi" w:eastAsiaTheme="minorEastAsia" w:hAnsiTheme="minorHAnsi" w:cstheme="minorBidi"/>
          <w:szCs w:val="20"/>
        </w:rPr>
      </w:pPr>
      <w:r w:rsidRPr="7B3DB2D0">
        <w:rPr>
          <w:rFonts w:asciiTheme="minorHAnsi" w:eastAsiaTheme="minorEastAsia" w:hAnsiTheme="minorHAnsi" w:cstheme="minorBidi"/>
          <w:szCs w:val="20"/>
        </w:rPr>
        <w:t>Efficiënt: we willen minimale uitvoeringskosten en optimale belastingopbrengsten;</w:t>
      </w:r>
    </w:p>
    <w:p w14:paraId="2D8FEDEE" w14:textId="61F465DD" w:rsidR="009964B6" w:rsidRPr="006F797D" w:rsidRDefault="7B3DB2D0" w:rsidP="7B3DB2D0">
      <w:pPr>
        <w:pStyle w:val="Lijstalinea"/>
        <w:numPr>
          <w:ilvl w:val="0"/>
          <w:numId w:val="4"/>
        </w:numPr>
        <w:rPr>
          <w:rFonts w:asciiTheme="minorHAnsi" w:eastAsiaTheme="minorEastAsia" w:hAnsiTheme="minorHAnsi" w:cstheme="minorBidi"/>
          <w:szCs w:val="20"/>
        </w:rPr>
      </w:pPr>
      <w:r w:rsidRPr="7B3DB2D0">
        <w:rPr>
          <w:rFonts w:asciiTheme="minorHAnsi" w:eastAsiaTheme="minorEastAsia" w:hAnsiTheme="minorHAnsi" w:cstheme="minorBidi"/>
          <w:szCs w:val="20"/>
        </w:rPr>
        <w:t>Resultaatgericht: we sturen op de afgesproken prestatie-indicatoren, verzorgen een transparante verslaggeving en doen alles wat in onze macht ligt om de belastingplichtigen te ontzorgen. Processen worden in het kader van continue verbeteren steeds verder gestroomlijnd met het oog op het leveren van klantwaarde;</w:t>
      </w:r>
    </w:p>
    <w:p w14:paraId="73A222B2" w14:textId="1F7BA5B1" w:rsidR="009964B6" w:rsidRPr="006F797D" w:rsidRDefault="7B3DB2D0" w:rsidP="7B3DB2D0">
      <w:pPr>
        <w:pStyle w:val="Lijstalinea"/>
        <w:numPr>
          <w:ilvl w:val="0"/>
          <w:numId w:val="4"/>
        </w:numPr>
        <w:rPr>
          <w:rFonts w:asciiTheme="minorHAnsi" w:eastAsiaTheme="minorEastAsia" w:hAnsiTheme="minorHAnsi" w:cstheme="minorBidi"/>
          <w:szCs w:val="20"/>
        </w:rPr>
      </w:pPr>
      <w:r w:rsidRPr="7B3DB2D0">
        <w:rPr>
          <w:rFonts w:asciiTheme="minorHAnsi" w:eastAsiaTheme="minorEastAsia" w:hAnsiTheme="minorHAnsi" w:cstheme="minorBidi"/>
          <w:szCs w:val="20"/>
        </w:rPr>
        <w:t>Samenwerken: we maken onderdeel uit van een groter geheel. Wij streven daarom horizontale en verticale samenwerking na. Op deze wijze willen we o</w:t>
      </w:r>
      <w:r w:rsidR="007969E7">
        <w:rPr>
          <w:rFonts w:asciiTheme="minorHAnsi" w:eastAsiaTheme="minorEastAsia" w:hAnsiTheme="minorHAnsi" w:cstheme="minorBidi"/>
          <w:szCs w:val="20"/>
        </w:rPr>
        <w:t>.</w:t>
      </w:r>
      <w:r w:rsidRPr="7B3DB2D0">
        <w:rPr>
          <w:rFonts w:asciiTheme="minorHAnsi" w:eastAsiaTheme="minorEastAsia" w:hAnsiTheme="minorHAnsi" w:cstheme="minorBidi"/>
          <w:szCs w:val="20"/>
        </w:rPr>
        <w:t>a. het lerend vermogen van de organisatie vergroten, de efficiency vergroten en waar mogelijk de kostprijs verlagen. Wij zullen te allen tijde de geldende maatschappelijke belangen nastreven.</w:t>
      </w:r>
    </w:p>
    <w:p w14:paraId="110DD34C" w14:textId="00EA0417" w:rsidR="009964B6" w:rsidRPr="006F797D" w:rsidRDefault="7B3DB2D0" w:rsidP="7B3DB2D0">
      <w:pPr>
        <w:jc w:val="both"/>
        <w:rPr>
          <w:rFonts w:asciiTheme="minorHAnsi" w:eastAsiaTheme="minorEastAsia" w:hAnsiTheme="minorHAnsi" w:cstheme="minorBidi"/>
          <w:szCs w:val="20"/>
        </w:rPr>
      </w:pPr>
      <w:r w:rsidRPr="7B3DB2D0">
        <w:rPr>
          <w:rFonts w:asciiTheme="minorHAnsi" w:eastAsiaTheme="minorEastAsia" w:hAnsiTheme="minorHAnsi" w:cstheme="minorBidi"/>
          <w:szCs w:val="20"/>
        </w:rPr>
        <w:t xml:space="preserve"> </w:t>
      </w:r>
    </w:p>
    <w:p w14:paraId="1DEBFA0B" w14:textId="0176B8CF" w:rsidR="009964B6" w:rsidRPr="006F797D" w:rsidRDefault="7B3DB2D0" w:rsidP="7B3DB2D0">
      <w:pPr>
        <w:jc w:val="both"/>
        <w:rPr>
          <w:rFonts w:asciiTheme="minorHAnsi" w:eastAsiaTheme="minorEastAsia" w:hAnsiTheme="minorHAnsi" w:cstheme="minorBidi"/>
          <w:szCs w:val="20"/>
        </w:rPr>
      </w:pPr>
      <w:r w:rsidRPr="7B3DB2D0">
        <w:rPr>
          <w:rFonts w:asciiTheme="minorHAnsi" w:eastAsiaTheme="minorEastAsia" w:hAnsiTheme="minorHAnsi" w:cstheme="minorBidi"/>
          <w:szCs w:val="20"/>
        </w:rPr>
        <w:t xml:space="preserve">Wij bieden aan de deelnemers goede, betrouwbare dienstverlening en efficiënt objectenbeheer. </w:t>
      </w:r>
    </w:p>
    <w:p w14:paraId="60854107" w14:textId="78484825" w:rsidR="009964B6" w:rsidRPr="006F797D" w:rsidRDefault="7B3DB2D0" w:rsidP="7B3DB2D0">
      <w:pPr>
        <w:jc w:val="both"/>
        <w:rPr>
          <w:rFonts w:asciiTheme="minorHAnsi" w:eastAsiaTheme="minorEastAsia" w:hAnsiTheme="minorHAnsi" w:cstheme="minorBidi"/>
          <w:szCs w:val="20"/>
        </w:rPr>
      </w:pPr>
      <w:r w:rsidRPr="7B3DB2D0">
        <w:rPr>
          <w:rFonts w:asciiTheme="minorHAnsi" w:eastAsiaTheme="minorEastAsia" w:hAnsiTheme="minorHAnsi" w:cstheme="minorBidi"/>
          <w:szCs w:val="20"/>
        </w:rPr>
        <w:t>Zodoende is het mogelijk om te bereiken:</w:t>
      </w:r>
    </w:p>
    <w:p w14:paraId="29B1433F" w14:textId="2F8F8896" w:rsidR="009964B6" w:rsidRPr="006F797D" w:rsidRDefault="7B3DB2D0" w:rsidP="7B3DB2D0">
      <w:pPr>
        <w:pStyle w:val="Lijstalinea"/>
        <w:numPr>
          <w:ilvl w:val="0"/>
          <w:numId w:val="3"/>
        </w:numPr>
        <w:rPr>
          <w:rFonts w:asciiTheme="minorHAnsi" w:eastAsiaTheme="minorEastAsia" w:hAnsiTheme="minorHAnsi" w:cstheme="minorBidi"/>
          <w:szCs w:val="20"/>
        </w:rPr>
      </w:pPr>
      <w:r w:rsidRPr="7B3DB2D0">
        <w:rPr>
          <w:rFonts w:asciiTheme="minorHAnsi" w:eastAsiaTheme="minorEastAsia" w:hAnsiTheme="minorHAnsi" w:cstheme="minorBidi"/>
          <w:szCs w:val="20"/>
        </w:rPr>
        <w:t>Schaalvergroting, met het aantal deelnemers (HDSR als werkgebied, zie afbeelding);</w:t>
      </w:r>
    </w:p>
    <w:p w14:paraId="370F16E2" w14:textId="0C82CE27" w:rsidR="009964B6" w:rsidRPr="006F797D" w:rsidRDefault="7B3DB2D0" w:rsidP="7B3DB2D0">
      <w:pPr>
        <w:pStyle w:val="Lijstalinea"/>
        <w:numPr>
          <w:ilvl w:val="0"/>
          <w:numId w:val="3"/>
        </w:numPr>
        <w:rPr>
          <w:rFonts w:asciiTheme="minorHAnsi" w:eastAsiaTheme="minorEastAsia" w:hAnsiTheme="minorHAnsi" w:cstheme="minorBidi"/>
          <w:szCs w:val="20"/>
        </w:rPr>
      </w:pPr>
      <w:r w:rsidRPr="7B3DB2D0">
        <w:rPr>
          <w:rFonts w:asciiTheme="minorHAnsi" w:eastAsiaTheme="minorEastAsia" w:hAnsiTheme="minorHAnsi" w:cstheme="minorBidi"/>
          <w:szCs w:val="20"/>
        </w:rPr>
        <w:t>Meer synergie in objectenbeheer voor deelnemers (WOZ, BAG, BGT).</w:t>
      </w:r>
    </w:p>
    <w:p w14:paraId="3B64B4CE" w14:textId="3CF6F931" w:rsidR="009964B6" w:rsidRPr="006F797D" w:rsidRDefault="16FBBEFD" w:rsidP="16FBBEFD">
      <w:pPr>
        <w:jc w:val="both"/>
      </w:pPr>
      <w:r w:rsidRPr="16FBBEFD">
        <w:rPr>
          <w:rFonts w:ascii="Lucida Sans" w:eastAsia="Lucida Sans" w:hAnsi="Lucida Sans" w:cs="Lucida Sans"/>
          <w:sz w:val="18"/>
          <w:szCs w:val="18"/>
        </w:rPr>
        <w:t xml:space="preserve"> </w:t>
      </w:r>
    </w:p>
    <w:p w14:paraId="4A1B5BBB" w14:textId="5B75DE1C" w:rsidR="009964B6" w:rsidRPr="006F797D" w:rsidRDefault="009964B6" w:rsidP="16FBBEFD">
      <w:pPr>
        <w:jc w:val="both"/>
      </w:pPr>
      <w:r>
        <w:rPr>
          <w:noProof/>
        </w:rPr>
        <w:drawing>
          <wp:inline distT="0" distB="0" distL="0" distR="0" wp14:anchorId="2B5F767D" wp14:editId="69A8DFB2">
            <wp:extent cx="4572000" cy="3238500"/>
            <wp:effectExtent l="0" t="0" r="0" b="0"/>
            <wp:docPr id="1187817433" name="Afbeelding 118781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3238500"/>
                    </a:xfrm>
                    <a:prstGeom prst="rect">
                      <a:avLst/>
                    </a:prstGeom>
                  </pic:spPr>
                </pic:pic>
              </a:graphicData>
            </a:graphic>
          </wp:inline>
        </w:drawing>
      </w:r>
    </w:p>
    <w:p w14:paraId="6C1EF5FD" w14:textId="00AE2DE4" w:rsidR="009964B6" w:rsidRPr="006F797D" w:rsidRDefault="009964B6" w:rsidP="16FBBEFD">
      <w:pPr>
        <w:rPr>
          <w:rFonts w:asciiTheme="minorHAnsi" w:hAnsiTheme="minorHAnsi" w:cstheme="minorBidi"/>
        </w:rPr>
      </w:pPr>
    </w:p>
    <w:p w14:paraId="2A40CE97" w14:textId="50191886" w:rsidR="000F6B33" w:rsidRDefault="3BFBF894" w:rsidP="0097578C">
      <w:pPr>
        <w:pStyle w:val="Kop2"/>
      </w:pPr>
      <w:bookmarkStart w:id="12" w:name="_Toc9929878"/>
      <w:bookmarkStart w:id="13" w:name="_Toc9930715"/>
      <w:bookmarkStart w:id="14" w:name="_Toc9933391"/>
      <w:bookmarkStart w:id="15" w:name="_Toc9933471"/>
      <w:bookmarkStart w:id="16" w:name="_Toc121747470"/>
      <w:r>
        <w:lastRenderedPageBreak/>
        <w:t xml:space="preserve">2.2 </w:t>
      </w:r>
      <w:bookmarkEnd w:id="12"/>
      <w:bookmarkEnd w:id="13"/>
      <w:bookmarkEnd w:id="14"/>
      <w:bookmarkEnd w:id="15"/>
      <w:r w:rsidR="00611C1D">
        <w:t>Organisatie – ontwikkelp</w:t>
      </w:r>
      <w:r w:rsidR="6BD43402">
        <w:t>erspectief</w:t>
      </w:r>
      <w:r w:rsidR="00611C1D">
        <w:t xml:space="preserve"> 2024-2027</w:t>
      </w:r>
      <w:bookmarkEnd w:id="16"/>
    </w:p>
    <w:p w14:paraId="133D80F9" w14:textId="61C4AFD2" w:rsidR="3E39DDB3" w:rsidRDefault="7B3DB2D0" w:rsidP="7B3DB2D0">
      <w:pPr>
        <w:spacing w:line="276" w:lineRule="auto"/>
        <w:rPr>
          <w:rFonts w:asciiTheme="minorHAnsi" w:eastAsiaTheme="minorEastAsia" w:hAnsiTheme="minorHAnsi" w:cstheme="minorBidi"/>
          <w:szCs w:val="20"/>
        </w:rPr>
      </w:pPr>
      <w:r w:rsidRPr="7B3DB2D0">
        <w:rPr>
          <w:rFonts w:asciiTheme="minorHAnsi" w:eastAsiaTheme="minorEastAsia" w:hAnsiTheme="minorHAnsi" w:cstheme="minorBidi"/>
          <w:szCs w:val="20"/>
        </w:rPr>
        <w:t>Door het bieden van goede en betrouwbare dienstverlening en efficiënt objectenbeheer maakt BghU het voor haar deelnemers mogelijk om omliggende gemeenten, inliggend in het werkgebied, toe te laten treden en de efficiencyvoordelen daarmee regionaal breder te benutten. Daarnaast is het mogelijk voor de deelnemers om meer synergie in objectenbeheer te bereiken.</w:t>
      </w:r>
    </w:p>
    <w:p w14:paraId="1161D970" w14:textId="1713EDCA" w:rsidR="3E39DDB3" w:rsidRDefault="7B3DB2D0" w:rsidP="7B3DB2D0">
      <w:pPr>
        <w:spacing w:line="276" w:lineRule="auto"/>
        <w:rPr>
          <w:rFonts w:asciiTheme="minorHAnsi" w:eastAsiaTheme="minorEastAsia" w:hAnsiTheme="minorHAnsi" w:cstheme="minorBidi"/>
          <w:szCs w:val="20"/>
        </w:rPr>
      </w:pPr>
      <w:r w:rsidRPr="7B3DB2D0">
        <w:rPr>
          <w:rFonts w:asciiTheme="minorHAnsi" w:eastAsiaTheme="minorEastAsia" w:hAnsiTheme="minorHAnsi" w:cstheme="minorBidi"/>
          <w:szCs w:val="20"/>
        </w:rPr>
        <w:t xml:space="preserve">Door onze efficiënte uitvoering kan BghU zich blijven inzetten om enerzijds de juiste belastingopbrengsten voor de deelnemers te realiseren en anderzijds maatwerk te bieden aan inwoners, zoals met sociaal invorderen en ten tijde van de grote aanslagoplegging en WOZ-beschikking persoonlijk en lokaal inwoners te adviseren. </w:t>
      </w:r>
    </w:p>
    <w:p w14:paraId="27D646F8" w14:textId="00A285ED" w:rsidR="07FDB117" w:rsidRDefault="7B3DB2D0" w:rsidP="7B3DB2D0">
      <w:pPr>
        <w:spacing w:line="276" w:lineRule="auto"/>
        <w:rPr>
          <w:rFonts w:asciiTheme="minorHAnsi" w:eastAsiaTheme="minorEastAsia" w:hAnsiTheme="minorHAnsi" w:cstheme="minorBidi"/>
          <w:szCs w:val="20"/>
        </w:rPr>
      </w:pPr>
      <w:r w:rsidRPr="7B3DB2D0">
        <w:rPr>
          <w:rFonts w:asciiTheme="minorHAnsi" w:eastAsiaTheme="minorEastAsia" w:hAnsiTheme="minorHAnsi" w:cstheme="minorBidi"/>
          <w:szCs w:val="20"/>
        </w:rPr>
        <w:t>De komende twee jaar richten we ons op het werken met de aangepaste processen in samenwerking met de nieuwe software uit de diverse aanbestedingen (kernapplicaties). Daarnaast speelt de implementatie van een aantal aanverwante aanbestedingen en inkopen (kantoorautomatisering, print- en drukwerk, beeldmateriaal, etc.). In dezelfde periode wordt bewust ruimte gecreëerd voor verdere kennisontwikkeling die de gehele ICT-transitie met zich meebrengt en dat samen komt met het organisatiebrede traject van talentontwikkeling, in te zetten per 2023. Zodoende is er voldoende ruimte voor persoonlijke ontwikkeling.</w:t>
      </w:r>
    </w:p>
    <w:p w14:paraId="3CC2C36D" w14:textId="728CB1AD" w:rsidR="07FDB117" w:rsidRDefault="7B3DB2D0" w:rsidP="7B3DB2D0">
      <w:pPr>
        <w:spacing w:line="276" w:lineRule="auto"/>
        <w:rPr>
          <w:rFonts w:asciiTheme="minorHAnsi" w:eastAsiaTheme="minorEastAsia" w:hAnsiTheme="minorHAnsi" w:cstheme="minorBidi"/>
          <w:szCs w:val="20"/>
        </w:rPr>
      </w:pPr>
      <w:r w:rsidRPr="7B3DB2D0">
        <w:rPr>
          <w:rFonts w:asciiTheme="minorHAnsi" w:eastAsiaTheme="minorEastAsia" w:hAnsiTheme="minorHAnsi" w:cstheme="minorBidi"/>
          <w:szCs w:val="20"/>
        </w:rPr>
        <w:t>Aan het eind van deze planperiode is het streven om ervaringen op te doen met systematische en onafhankelijk kwaliteitsonderzoek om vervolgens onze kwaliteitsborging aan te tonen (certificering).</w:t>
      </w:r>
    </w:p>
    <w:p w14:paraId="2D4A56CD" w14:textId="6AE4FDFB" w:rsidR="07FDB117" w:rsidRDefault="07FDB117" w:rsidP="7B3DB2D0">
      <w:pPr>
        <w:spacing w:line="276" w:lineRule="auto"/>
        <w:rPr>
          <w:rFonts w:asciiTheme="minorHAnsi" w:eastAsiaTheme="minorEastAsia" w:hAnsiTheme="minorHAnsi" w:cstheme="minorBidi"/>
          <w:szCs w:val="20"/>
        </w:rPr>
      </w:pPr>
    </w:p>
    <w:p w14:paraId="4B841EE4" w14:textId="5513EAA6" w:rsidR="00611C1D" w:rsidRDefault="7B3DB2D0" w:rsidP="7B3DB2D0">
      <w:pPr>
        <w:spacing w:line="276" w:lineRule="auto"/>
        <w:rPr>
          <w:rFonts w:asciiTheme="minorHAnsi" w:eastAsiaTheme="minorEastAsia" w:hAnsiTheme="minorHAnsi" w:cstheme="minorBidi"/>
          <w:szCs w:val="20"/>
          <w:highlight w:val="yellow"/>
        </w:rPr>
      </w:pPr>
      <w:r w:rsidRPr="7B3DB2D0">
        <w:rPr>
          <w:rFonts w:asciiTheme="minorHAnsi" w:eastAsiaTheme="minorEastAsia" w:hAnsiTheme="minorHAnsi" w:cstheme="minorBidi"/>
          <w:szCs w:val="20"/>
        </w:rPr>
        <w:t>De activiteiten die we hiertoe ondernemen worden in de volgende hoofdstukken toegelicht, evenals de bijbehorende financiële kaders en ontwikkelingen. Daarmee zijn we klaar voor de toekomst.</w:t>
      </w:r>
    </w:p>
    <w:p w14:paraId="299C6685" w14:textId="1BE864AE" w:rsidR="00611C1D" w:rsidRDefault="00611C1D" w:rsidP="16FBBEFD">
      <w:pPr>
        <w:rPr>
          <w:rFonts w:asciiTheme="minorHAnsi" w:hAnsiTheme="minorHAnsi" w:cstheme="minorBidi"/>
        </w:rPr>
      </w:pPr>
    </w:p>
    <w:p w14:paraId="516FBD0C" w14:textId="2B0807B2" w:rsidR="16FBBEFD" w:rsidRDefault="16FBBEFD" w:rsidP="16FBBEFD">
      <w:pPr>
        <w:rPr>
          <w:rFonts w:asciiTheme="minorHAnsi" w:hAnsiTheme="minorHAnsi" w:cstheme="minorBidi"/>
          <w:highlight w:val="yellow"/>
        </w:rPr>
      </w:pPr>
    </w:p>
    <w:p w14:paraId="7DFFC66C" w14:textId="13CCBC32" w:rsidR="00611C1D" w:rsidRDefault="00611C1D" w:rsidP="00611C1D">
      <w:pPr>
        <w:pStyle w:val="Kop2"/>
      </w:pPr>
      <w:bookmarkStart w:id="17" w:name="_Toc121747471"/>
      <w:r>
        <w:lastRenderedPageBreak/>
        <w:t>2.</w:t>
      </w:r>
      <w:r w:rsidR="00DC3754">
        <w:t>3</w:t>
      </w:r>
      <w:r>
        <w:t xml:space="preserve"> </w:t>
      </w:r>
      <w:r w:rsidR="00DC3754">
        <w:t>Overzicht basispakket en pluspakket</w:t>
      </w:r>
      <w:bookmarkEnd w:id="17"/>
    </w:p>
    <w:p w14:paraId="711987DB" w14:textId="67B5BFB9" w:rsidR="007B0647" w:rsidRDefault="00927841" w:rsidP="6F850257">
      <w:pPr>
        <w:spacing w:after="200" w:line="276" w:lineRule="auto"/>
      </w:pPr>
      <w:bookmarkStart w:id="18" w:name="_Toc9929895"/>
      <w:bookmarkStart w:id="19" w:name="_Toc9930731"/>
      <w:bookmarkStart w:id="20" w:name="_Toc9933408"/>
      <w:bookmarkStart w:id="21" w:name="_Toc9933488"/>
      <w:r w:rsidRPr="00927841">
        <w:rPr>
          <w:noProof/>
        </w:rPr>
        <w:drawing>
          <wp:inline distT="0" distB="0" distL="0" distR="0" wp14:anchorId="370A6CD7" wp14:editId="0B5F726F">
            <wp:extent cx="5753100" cy="72104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7210425"/>
                    </a:xfrm>
                    <a:prstGeom prst="rect">
                      <a:avLst/>
                    </a:prstGeom>
                    <a:noFill/>
                    <a:ln>
                      <a:noFill/>
                    </a:ln>
                  </pic:spPr>
                </pic:pic>
              </a:graphicData>
            </a:graphic>
          </wp:inline>
        </w:drawing>
      </w:r>
    </w:p>
    <w:p w14:paraId="4EDC6637" w14:textId="4EDDF413" w:rsidR="00DC3754" w:rsidRDefault="007B0647" w:rsidP="6F850257">
      <w:pPr>
        <w:spacing w:after="200" w:line="276" w:lineRule="auto"/>
        <w:rPr>
          <w:rFonts w:asciiTheme="minorHAnsi" w:hAnsiTheme="minorHAnsi" w:cs="Arial"/>
          <w:color w:val="E10E49"/>
          <w:kern w:val="32"/>
          <w:sz w:val="32"/>
          <w:szCs w:val="32"/>
        </w:rPr>
      </w:pPr>
      <w:r w:rsidRPr="007B0647">
        <w:rPr>
          <w:rStyle w:val="normaltextrun"/>
          <w:rFonts w:ascii="Lucida Sans Unicode" w:hAnsi="Lucida Sans Unicode" w:cs="Lucida Sans Unicode"/>
          <w:szCs w:val="20"/>
          <w:bdr w:val="none" w:sz="0" w:space="0" w:color="auto" w:frame="1"/>
        </w:rPr>
        <w:t>* afschaffen hondenbelasting bij gemeente Houten onder voorbehoud van aanstaand raadsbesluit</w:t>
      </w:r>
      <w:r w:rsidR="00DC3754">
        <w:br w:type="page"/>
      </w:r>
    </w:p>
    <w:p w14:paraId="4257674E" w14:textId="2AD3B7B0" w:rsidR="00DC3754" w:rsidRDefault="00DC3754" w:rsidP="00DC3754">
      <w:pPr>
        <w:pStyle w:val="Kop1"/>
      </w:pPr>
      <w:bookmarkStart w:id="22" w:name="_Toc121747472"/>
      <w:r>
        <w:lastRenderedPageBreak/>
        <w:t>3. Landelijke en regionale ontwikkelingen</w:t>
      </w:r>
      <w:bookmarkEnd w:id="22"/>
    </w:p>
    <w:p w14:paraId="5B789A6C" w14:textId="70DB3C40" w:rsidR="16FBBEFD" w:rsidRDefault="7B3DB2D0" w:rsidP="00E644E4">
      <w:pPr>
        <w:pStyle w:val="Kop2"/>
      </w:pPr>
      <w:bookmarkStart w:id="23" w:name="_Toc121747473"/>
      <w:r w:rsidRPr="7B3DB2D0">
        <w:rPr>
          <w:rFonts w:eastAsia="Calibri"/>
        </w:rPr>
        <w:t>Landelijke &amp; regionale ontwikkelingen</w:t>
      </w:r>
      <w:bookmarkEnd w:id="23"/>
      <w:r w:rsidR="16FBBEFD" w:rsidRPr="16FBBEFD">
        <w:rPr>
          <w:rFonts w:eastAsia="Calibri" w:cs="Calibri"/>
          <w:sz w:val="22"/>
          <w:szCs w:val="22"/>
        </w:rPr>
        <w:t xml:space="preserve"> </w:t>
      </w:r>
    </w:p>
    <w:p w14:paraId="00920B9F" w14:textId="752F2604" w:rsidR="16FBBEFD" w:rsidRDefault="7B3DB2D0" w:rsidP="7B3DB2D0">
      <w:pPr>
        <w:rPr>
          <w:rStyle w:val="normaltextrun"/>
          <w:rFonts w:asciiTheme="minorHAnsi" w:eastAsiaTheme="minorEastAsia" w:hAnsiTheme="minorHAnsi" w:cstheme="minorBidi"/>
          <w:i/>
          <w:iCs/>
          <w:szCs w:val="20"/>
          <w:lang w:eastAsia="en-US"/>
        </w:rPr>
      </w:pPr>
      <w:r w:rsidRPr="7B3DB2D0">
        <w:rPr>
          <w:rStyle w:val="normaltextrun"/>
          <w:rFonts w:asciiTheme="minorHAnsi" w:eastAsiaTheme="minorEastAsia" w:hAnsiTheme="minorHAnsi" w:cstheme="minorBidi"/>
          <w:i/>
          <w:iCs/>
          <w:szCs w:val="20"/>
          <w:lang w:eastAsia="en-US"/>
        </w:rPr>
        <w:t>Omgevingswet 2023</w:t>
      </w:r>
    </w:p>
    <w:p w14:paraId="75229232" w14:textId="690E4E09" w:rsidR="16FBBEFD" w:rsidRDefault="7B3DB2D0" w:rsidP="7B3DB2D0">
      <w:pPr>
        <w:rPr>
          <w:rStyle w:val="normaltextrun"/>
          <w:rFonts w:asciiTheme="minorHAnsi" w:eastAsiaTheme="minorEastAsia" w:hAnsiTheme="minorHAnsi" w:cstheme="minorBidi"/>
          <w:szCs w:val="20"/>
          <w:lang w:eastAsia="en-US"/>
        </w:rPr>
      </w:pPr>
      <w:r w:rsidRPr="7B3DB2D0">
        <w:rPr>
          <w:rStyle w:val="normaltextrun"/>
          <w:rFonts w:asciiTheme="minorHAnsi" w:eastAsiaTheme="minorEastAsia" w:hAnsiTheme="minorHAnsi" w:cstheme="minorBidi"/>
          <w:szCs w:val="20"/>
          <w:lang w:eastAsia="en-US"/>
        </w:rPr>
        <w:t>De Omgevingswet is opnieuw uitgesteld en de beoogde inwerkingtreding is 1 juli 2023. De huidige wetgeving en regels voor ruimte, wonen, infrastructuur, milieu, natuur en water worden gebundeld in één wet. BghU monitort de ontwikkelingen en stuurt waar nodig op het aanpassen van haar dienstverlening.</w:t>
      </w:r>
    </w:p>
    <w:p w14:paraId="525BEAA0" w14:textId="0D2718CE" w:rsidR="16FBBEFD" w:rsidRDefault="16FBBEFD" w:rsidP="7B3DB2D0">
      <w:pPr>
        <w:rPr>
          <w:rStyle w:val="normaltextrun"/>
          <w:rFonts w:asciiTheme="minorHAnsi" w:eastAsiaTheme="minorEastAsia" w:hAnsiTheme="minorHAnsi" w:cstheme="minorBidi"/>
          <w:szCs w:val="20"/>
          <w:lang w:eastAsia="en-US"/>
        </w:rPr>
      </w:pPr>
    </w:p>
    <w:tbl>
      <w:tblPr>
        <w:tblW w:w="0" w:type="auto"/>
        <w:tblLayout w:type="fixed"/>
        <w:tblLook w:val="04A0" w:firstRow="1" w:lastRow="0" w:firstColumn="1" w:lastColumn="0" w:noHBand="0" w:noVBand="1"/>
      </w:tblPr>
      <w:tblGrid>
        <w:gridCol w:w="9060"/>
      </w:tblGrid>
      <w:tr w:rsidR="16FBBEFD" w14:paraId="21A7516E" w14:textId="77777777" w:rsidTr="2EACF270">
        <w:tc>
          <w:tcPr>
            <w:tcW w:w="9060" w:type="dxa"/>
            <w:vAlign w:val="center"/>
          </w:tcPr>
          <w:p w14:paraId="7FB8D57A" w14:textId="0BA5FEAF" w:rsidR="16FBBEFD" w:rsidRDefault="7B3DB2D0" w:rsidP="00B7446D">
            <w:pPr>
              <w:ind w:left="-105"/>
              <w:rPr>
                <w:rStyle w:val="normaltextrun"/>
                <w:rFonts w:asciiTheme="minorHAnsi" w:eastAsiaTheme="minorEastAsia" w:hAnsiTheme="minorHAnsi" w:cstheme="minorBidi"/>
                <w:szCs w:val="20"/>
                <w:lang w:eastAsia="en-US"/>
              </w:rPr>
            </w:pPr>
            <w:r w:rsidRPr="7B3DB2D0">
              <w:rPr>
                <w:rStyle w:val="normaltextrun"/>
                <w:rFonts w:asciiTheme="minorHAnsi" w:eastAsiaTheme="minorEastAsia" w:hAnsiTheme="minorHAnsi" w:cstheme="minorBidi"/>
                <w:i/>
                <w:iCs/>
                <w:szCs w:val="20"/>
                <w:lang w:eastAsia="en-US"/>
              </w:rPr>
              <w:t>Wijzigingen</w:t>
            </w:r>
            <w:r w:rsidR="00FD6BA0">
              <w:rPr>
                <w:rStyle w:val="normaltextrun"/>
                <w:rFonts w:asciiTheme="minorHAnsi" w:eastAsiaTheme="minorEastAsia" w:hAnsiTheme="minorHAnsi" w:cstheme="minorBidi"/>
                <w:i/>
                <w:iCs/>
                <w:szCs w:val="20"/>
                <w:lang w:eastAsia="en-US"/>
              </w:rPr>
              <w:t xml:space="preserve"> in wet- en regelgeving</w:t>
            </w:r>
          </w:p>
        </w:tc>
      </w:tr>
      <w:tr w:rsidR="16FBBEFD" w14:paraId="5808947B" w14:textId="77777777" w:rsidTr="2EACF270">
        <w:trPr>
          <w:trHeight w:val="2040"/>
        </w:trPr>
        <w:tc>
          <w:tcPr>
            <w:tcW w:w="9060" w:type="dxa"/>
            <w:vAlign w:val="center"/>
          </w:tcPr>
          <w:p w14:paraId="13C68C4B" w14:textId="77777777" w:rsidR="00365B2F" w:rsidRPr="00365B2F" w:rsidRDefault="7B3DB2D0" w:rsidP="00365B2F">
            <w:pPr>
              <w:pStyle w:val="Lijstalinea"/>
              <w:numPr>
                <w:ilvl w:val="0"/>
                <w:numId w:val="45"/>
              </w:numPr>
              <w:textAlignment w:val="baseline"/>
              <w:rPr>
                <w:rStyle w:val="normaltextrun"/>
                <w:rFonts w:ascii="Segoe UI" w:hAnsi="Segoe UI" w:cs="Segoe UI"/>
                <w:sz w:val="18"/>
                <w:szCs w:val="18"/>
              </w:rPr>
            </w:pPr>
            <w:r w:rsidRPr="00FD6BA0">
              <w:rPr>
                <w:rStyle w:val="normaltextrun"/>
                <w:rFonts w:asciiTheme="minorHAnsi" w:eastAsiaTheme="minorEastAsia" w:hAnsiTheme="minorHAnsi" w:cstheme="minorBidi"/>
                <w:szCs w:val="20"/>
                <w:lang w:eastAsia="en-US"/>
              </w:rPr>
              <w:t>Ruimere vermogensnormen</w:t>
            </w:r>
            <w:r w:rsidR="00FD6BA0" w:rsidRPr="00FD6BA0">
              <w:rPr>
                <w:rStyle w:val="normaltextrun"/>
                <w:rFonts w:asciiTheme="minorHAnsi" w:eastAsiaTheme="minorEastAsia" w:hAnsiTheme="minorHAnsi" w:cstheme="minorBidi"/>
                <w:szCs w:val="20"/>
                <w:lang w:eastAsia="en-US"/>
              </w:rPr>
              <w:t xml:space="preserve"> bij kwijtschelding</w:t>
            </w:r>
            <w:r w:rsidRPr="00FD6BA0">
              <w:rPr>
                <w:rStyle w:val="normaltextrun"/>
                <w:rFonts w:asciiTheme="minorHAnsi" w:eastAsiaTheme="minorEastAsia" w:hAnsiTheme="minorHAnsi" w:cstheme="minorBidi"/>
                <w:szCs w:val="20"/>
                <w:lang w:eastAsia="en-US"/>
              </w:rPr>
              <w:t xml:space="preserve">: </w:t>
            </w:r>
          </w:p>
          <w:p w14:paraId="6DCADBDF" w14:textId="77777777" w:rsidR="00DE7A01" w:rsidRDefault="00DE7A01" w:rsidP="00365B2F">
            <w:pPr>
              <w:pStyle w:val="Lijstalinea"/>
              <w:ind w:left="720"/>
              <w:textAlignment w:val="baseline"/>
              <w:rPr>
                <w:rStyle w:val="normaltextrun"/>
                <w:rFonts w:asciiTheme="minorHAnsi" w:eastAsiaTheme="minorEastAsia" w:hAnsiTheme="minorHAnsi" w:cstheme="minorBidi"/>
                <w:szCs w:val="20"/>
                <w:lang w:eastAsia="en-US"/>
              </w:rPr>
            </w:pPr>
            <w:r w:rsidRPr="00DE7A01">
              <w:rPr>
                <w:rStyle w:val="normaltextrun"/>
                <w:rFonts w:asciiTheme="minorHAnsi" w:eastAsiaTheme="minorEastAsia" w:hAnsiTheme="minorHAnsi" w:cstheme="minorBidi"/>
                <w:szCs w:val="20"/>
                <w:lang w:eastAsia="en-US"/>
              </w:rPr>
              <w:t xml:space="preserve">Op 17 september 2022 is de </w:t>
            </w:r>
            <w:r w:rsidRPr="00DE7A01">
              <w:rPr>
                <w:rStyle w:val="normaltextrun"/>
                <w:rFonts w:asciiTheme="minorHAnsi" w:eastAsiaTheme="minorEastAsia" w:hAnsiTheme="minorHAnsi" w:cstheme="minorBidi"/>
                <w:i/>
                <w:iCs/>
                <w:szCs w:val="20"/>
                <w:lang w:eastAsia="en-US"/>
              </w:rPr>
              <w:t>Regeling kwijtschelding belastingen medeoverheden</w:t>
            </w:r>
            <w:r w:rsidRPr="00DE7A01">
              <w:rPr>
                <w:rStyle w:val="normaltextrun"/>
                <w:rFonts w:asciiTheme="minorHAnsi" w:eastAsiaTheme="minorEastAsia" w:hAnsiTheme="minorHAnsi" w:cstheme="minorBidi"/>
                <w:szCs w:val="20"/>
                <w:lang w:eastAsia="en-US"/>
              </w:rPr>
              <w:t xml:space="preserve"> in werking getreden. Deze regeling maakt het mogelijk dat de raad cq. algemeen bestuur het bedrag aan financiële middelen dat niet wordt meegeteld bij de berekening van het vermogen, op een hoger bedrag wordt vastgesteld.  De maximale verhoging is afhankelijk van de leefsituatie van de belastingschuldige en bedraagt maximaal € 2.000,-. Alle deelnemers hebben besluitvorming in voorbereiding waarbij wordt voorzien in inwerkingtreding per 1 januari 2023.</w:t>
            </w:r>
          </w:p>
          <w:p w14:paraId="7D954C1F" w14:textId="77777777" w:rsidR="00217A3A" w:rsidRPr="00217A3A" w:rsidRDefault="7B3DB2D0" w:rsidP="00217A3A">
            <w:pPr>
              <w:pStyle w:val="Lijstalinea"/>
              <w:numPr>
                <w:ilvl w:val="0"/>
                <w:numId w:val="45"/>
              </w:numPr>
              <w:rPr>
                <w:rFonts w:asciiTheme="minorHAnsi" w:eastAsiaTheme="minorEastAsia" w:hAnsiTheme="minorHAnsi" w:cstheme="minorBidi"/>
                <w:szCs w:val="20"/>
                <w:lang w:eastAsia="en-US"/>
              </w:rPr>
            </w:pPr>
            <w:r w:rsidRPr="00217A3A">
              <w:rPr>
                <w:rStyle w:val="normaltextrun"/>
                <w:rFonts w:asciiTheme="minorHAnsi" w:eastAsiaTheme="minorEastAsia" w:hAnsiTheme="minorHAnsi" w:cstheme="minorBidi"/>
                <w:szCs w:val="20"/>
                <w:lang w:eastAsia="en-US"/>
              </w:rPr>
              <w:t>Volledige rechtsbescherming uitstel van betaling en kwijtschelding:</w:t>
            </w:r>
            <w:r w:rsidR="16FBBEFD">
              <w:br/>
            </w:r>
            <w:r w:rsidRPr="00217A3A">
              <w:rPr>
                <w:rStyle w:val="normaltextrun"/>
                <w:rFonts w:asciiTheme="minorHAnsi" w:eastAsiaTheme="minorEastAsia" w:hAnsiTheme="minorHAnsi" w:cstheme="minorBidi"/>
                <w:szCs w:val="20"/>
                <w:lang w:eastAsia="en-US"/>
              </w:rPr>
              <w:t>De mogelijke inwerkingtreding is nu 1-1-2024. Er is door het ministerie gevraagd wat er voor de uitvoeringsorganisaties nodig is om deze datum te halen. En wat de uitvoeringsgevolgen zijn. De LVLB-commissie Invordering brengt dit nu in kaart voor de VNG en UvW.</w:t>
            </w:r>
          </w:p>
          <w:p w14:paraId="5E8BD73F" w14:textId="2905E1D7" w:rsidR="16FBBEFD" w:rsidRPr="00217A3A" w:rsidRDefault="7B3DB2D0" w:rsidP="00217A3A">
            <w:pPr>
              <w:pStyle w:val="Lijstalinea"/>
              <w:numPr>
                <w:ilvl w:val="0"/>
                <w:numId w:val="45"/>
              </w:numPr>
              <w:rPr>
                <w:rStyle w:val="normaltextrun"/>
                <w:rFonts w:asciiTheme="minorHAnsi" w:eastAsiaTheme="minorEastAsia" w:hAnsiTheme="minorHAnsi" w:cstheme="minorBidi"/>
                <w:szCs w:val="20"/>
                <w:lang w:eastAsia="en-US"/>
              </w:rPr>
            </w:pPr>
            <w:r w:rsidRPr="00217A3A">
              <w:rPr>
                <w:rStyle w:val="normaltextrun"/>
                <w:rFonts w:asciiTheme="minorHAnsi" w:eastAsiaTheme="minorEastAsia" w:hAnsiTheme="minorHAnsi" w:cstheme="minorBidi"/>
                <w:szCs w:val="20"/>
                <w:lang w:eastAsia="en-US"/>
              </w:rPr>
              <w:t>Wet stroomlijning keten voor derdenbeslag: uitgesteld</w:t>
            </w:r>
          </w:p>
        </w:tc>
      </w:tr>
    </w:tbl>
    <w:p w14:paraId="03863C13" w14:textId="1EDB80F9" w:rsidR="16FBBEFD" w:rsidRDefault="16FBBEFD" w:rsidP="7B3DB2D0">
      <w:pPr>
        <w:rPr>
          <w:rStyle w:val="normaltextrun"/>
          <w:rFonts w:asciiTheme="minorHAnsi" w:eastAsiaTheme="minorEastAsia" w:hAnsiTheme="minorHAnsi" w:cstheme="minorBidi"/>
          <w:i/>
          <w:iCs/>
          <w:szCs w:val="20"/>
          <w:lang w:eastAsia="en-US"/>
        </w:rPr>
      </w:pPr>
    </w:p>
    <w:p w14:paraId="01C0BEE7" w14:textId="6DD24AC0" w:rsidR="16FBBEFD" w:rsidRDefault="7B3DB2D0" w:rsidP="7B3DB2D0">
      <w:pPr>
        <w:rPr>
          <w:rStyle w:val="normaltextrun"/>
          <w:rFonts w:asciiTheme="minorHAnsi" w:eastAsiaTheme="minorEastAsia" w:hAnsiTheme="minorHAnsi" w:cstheme="minorBidi"/>
          <w:i/>
          <w:iCs/>
          <w:szCs w:val="20"/>
          <w:lang w:eastAsia="en-US"/>
        </w:rPr>
      </w:pPr>
      <w:r w:rsidRPr="7B3DB2D0">
        <w:rPr>
          <w:rStyle w:val="normaltextrun"/>
          <w:rFonts w:asciiTheme="minorHAnsi" w:eastAsiaTheme="minorEastAsia" w:hAnsiTheme="minorHAnsi" w:cstheme="minorBidi"/>
          <w:i/>
          <w:iCs/>
          <w:szCs w:val="20"/>
          <w:lang w:eastAsia="en-US"/>
        </w:rPr>
        <w:t>Concept Wet aanpak samenhangende meervoudige problematiek in het sociaal domein (Wams)</w:t>
      </w:r>
    </w:p>
    <w:p w14:paraId="33D92DFB" w14:textId="1663B57D" w:rsidR="16FBBEFD" w:rsidRDefault="7B3DB2D0" w:rsidP="7B3DB2D0">
      <w:pPr>
        <w:rPr>
          <w:rStyle w:val="normaltextrun"/>
          <w:rFonts w:asciiTheme="minorHAnsi" w:eastAsiaTheme="minorEastAsia" w:hAnsiTheme="minorHAnsi" w:cstheme="minorBidi"/>
          <w:szCs w:val="20"/>
          <w:lang w:eastAsia="en-US"/>
        </w:rPr>
      </w:pPr>
      <w:r w:rsidRPr="7B3DB2D0">
        <w:rPr>
          <w:rStyle w:val="normaltextrun"/>
          <w:rFonts w:asciiTheme="minorHAnsi" w:eastAsiaTheme="minorEastAsia" w:hAnsiTheme="minorHAnsi" w:cstheme="minorBidi"/>
          <w:szCs w:val="20"/>
          <w:lang w:eastAsia="en-US"/>
        </w:rPr>
        <w:t>Van gemeenten wordt verwacht dat zij inzetten op een integrale samenwerking binnen het sociaal domein. De behoefte aan gegevens(uitwisseling) in dit verband staat soms op gespannen voet met de privacywetgeving zoals die is neergelegd in de Algemene Verordening Gegevensbescherming (AVG). Doel van dit wetsvoorstel is het wegnemen van de onduidelijkheid over de wettelijke grondslagen voor domein overstijgende gegevensverwerking in het sociaal domein. Een belangrijk uitgangspunt is dat de verwerking noodzakelijk is. De gegevensuitwisseling blijft dus maatwerk. De inwerkingtreding van deze wet is naar verwachting 1 januari 2024.</w:t>
      </w:r>
    </w:p>
    <w:p w14:paraId="3587C649" w14:textId="7F073DB9" w:rsidR="16FBBEFD" w:rsidRDefault="7B3DB2D0" w:rsidP="7B3DB2D0">
      <w:pPr>
        <w:rPr>
          <w:rStyle w:val="normaltextrun"/>
          <w:rFonts w:asciiTheme="minorHAnsi" w:eastAsiaTheme="minorEastAsia" w:hAnsiTheme="minorHAnsi" w:cstheme="minorBidi"/>
          <w:i/>
          <w:iCs/>
          <w:szCs w:val="20"/>
          <w:lang w:eastAsia="en-US"/>
        </w:rPr>
      </w:pPr>
      <w:r w:rsidRPr="7B3DB2D0">
        <w:rPr>
          <w:rStyle w:val="normaltextrun"/>
          <w:rFonts w:asciiTheme="minorHAnsi" w:eastAsiaTheme="minorEastAsia" w:hAnsiTheme="minorHAnsi" w:cstheme="minorBidi"/>
          <w:i/>
          <w:iCs/>
          <w:szCs w:val="20"/>
          <w:lang w:eastAsia="en-US"/>
        </w:rPr>
        <w:t xml:space="preserve"> </w:t>
      </w:r>
    </w:p>
    <w:p w14:paraId="27953D05" w14:textId="45C1F87C" w:rsidR="16FBBEFD" w:rsidRDefault="7B3DB2D0" w:rsidP="7B3DB2D0">
      <w:pPr>
        <w:rPr>
          <w:rStyle w:val="normaltextrun"/>
          <w:rFonts w:asciiTheme="minorHAnsi" w:eastAsiaTheme="minorEastAsia" w:hAnsiTheme="minorHAnsi" w:cstheme="minorBidi"/>
          <w:i/>
          <w:iCs/>
          <w:szCs w:val="20"/>
          <w:lang w:eastAsia="en-US"/>
        </w:rPr>
      </w:pPr>
      <w:r w:rsidRPr="7B3DB2D0">
        <w:rPr>
          <w:rStyle w:val="normaltextrun"/>
          <w:rFonts w:asciiTheme="minorHAnsi" w:eastAsiaTheme="minorEastAsia" w:hAnsiTheme="minorHAnsi" w:cstheme="minorBidi"/>
          <w:i/>
          <w:iCs/>
          <w:szCs w:val="20"/>
          <w:lang w:eastAsia="en-US"/>
        </w:rPr>
        <w:t>Ontwikkeling belastingstelsel</w:t>
      </w:r>
    </w:p>
    <w:p w14:paraId="32210FFB" w14:textId="0617AED4" w:rsidR="16FBBEFD" w:rsidRDefault="7B3DB2D0" w:rsidP="7B3DB2D0">
      <w:pPr>
        <w:rPr>
          <w:rStyle w:val="normaltextrun"/>
          <w:rFonts w:asciiTheme="minorHAnsi" w:eastAsiaTheme="minorEastAsia" w:hAnsiTheme="minorHAnsi" w:cstheme="minorBidi"/>
          <w:szCs w:val="20"/>
          <w:lang w:eastAsia="en-US"/>
        </w:rPr>
      </w:pPr>
      <w:r w:rsidRPr="7B3DB2D0">
        <w:rPr>
          <w:rStyle w:val="normaltextrun"/>
          <w:rFonts w:asciiTheme="minorHAnsi" w:eastAsiaTheme="minorEastAsia" w:hAnsiTheme="minorHAnsi" w:cstheme="minorBidi"/>
          <w:szCs w:val="20"/>
          <w:lang w:eastAsia="en-US"/>
        </w:rPr>
        <w:t>Mede als lid van LVLB houden we de Langetermijnagenda (LTA) bij met de planning van de belangrijkste beleidsonderwerpen, van toepassing voor ons belastingdomein. Hieronder staat een aantal relevante ontwikkelingen voor BghU genoemd.</w:t>
      </w:r>
    </w:p>
    <w:p w14:paraId="2CCB89F5" w14:textId="3914E721" w:rsidR="16FBBEFD" w:rsidRDefault="7B3DB2D0" w:rsidP="7B3DB2D0">
      <w:pPr>
        <w:rPr>
          <w:rFonts w:asciiTheme="minorHAnsi" w:eastAsiaTheme="minorEastAsia" w:hAnsiTheme="minorHAnsi" w:cstheme="minorBidi"/>
          <w:szCs w:val="20"/>
        </w:rPr>
      </w:pPr>
      <w:r w:rsidRPr="7B3DB2D0">
        <w:rPr>
          <w:rFonts w:asciiTheme="minorHAnsi" w:eastAsiaTheme="minorEastAsia" w:hAnsiTheme="minorHAnsi" w:cstheme="minorBidi"/>
          <w:szCs w:val="20"/>
        </w:rPr>
        <w:t xml:space="preserve"> </w:t>
      </w:r>
    </w:p>
    <w:p w14:paraId="4289F2EE" w14:textId="01A11996" w:rsidR="16FBBEFD" w:rsidRPr="00217A3A" w:rsidRDefault="7B3DB2D0" w:rsidP="00841C43">
      <w:pPr>
        <w:pStyle w:val="Lijstalinea"/>
        <w:numPr>
          <w:ilvl w:val="0"/>
          <w:numId w:val="5"/>
        </w:numPr>
        <w:rPr>
          <w:rFonts w:asciiTheme="minorHAnsi" w:eastAsiaTheme="minorEastAsia" w:hAnsiTheme="minorHAnsi" w:cstheme="minorBidi"/>
          <w:szCs w:val="20"/>
        </w:rPr>
      </w:pPr>
      <w:r w:rsidRPr="00217A3A">
        <w:rPr>
          <w:rStyle w:val="normaltextrun"/>
          <w:rFonts w:asciiTheme="minorHAnsi" w:eastAsiaTheme="minorEastAsia" w:hAnsiTheme="minorHAnsi" w:cstheme="minorBidi"/>
          <w:szCs w:val="20"/>
          <w:lang w:eastAsia="en-US"/>
        </w:rPr>
        <w:t>De Minister van Financiën heeft begin 2022 aangegeven dat er voor de periode na 2025 in overleg met de medeoverheden een nieuwe financieringssystematiek wordt uitgewerkt voor gemeenten en provincies om hun autonomie te vergroten en een stabielere financiering te realiseren, waarbij de eerdere rapporten als uitgangspunt dienen.</w:t>
      </w:r>
      <w:hyperlink r:id="rId15" w:anchor="_ftn1">
        <w:r w:rsidRPr="00217A3A">
          <w:rPr>
            <w:rStyle w:val="normaltextrun"/>
            <w:rFonts w:asciiTheme="minorHAnsi" w:eastAsiaTheme="minorEastAsia" w:hAnsiTheme="minorHAnsi" w:cstheme="minorBidi"/>
            <w:szCs w:val="20"/>
            <w:lang w:eastAsia="en-US"/>
          </w:rPr>
          <w:t>[1]</w:t>
        </w:r>
      </w:hyperlink>
      <w:r w:rsidRPr="00217A3A">
        <w:rPr>
          <w:rStyle w:val="normaltextrun"/>
          <w:rFonts w:asciiTheme="minorHAnsi" w:eastAsiaTheme="minorEastAsia" w:hAnsiTheme="minorHAnsi" w:cstheme="minorBidi"/>
          <w:szCs w:val="20"/>
          <w:lang w:eastAsia="en-US"/>
        </w:rPr>
        <w:t xml:space="preserve"> Als het doorgaat, dan krijgen gemeenten mogelijk (onder meer) een ingezetenenbelasting en een OZB-gebruikersheffing op woningen en stijgen de belastingopbrengsten met circa 40%.</w:t>
      </w:r>
      <w:r w:rsidRPr="00217A3A">
        <w:rPr>
          <w:rFonts w:asciiTheme="minorHAnsi" w:eastAsiaTheme="minorEastAsia" w:hAnsiTheme="minorHAnsi" w:cstheme="minorBidi"/>
          <w:szCs w:val="20"/>
        </w:rPr>
        <w:t xml:space="preserve"> </w:t>
      </w:r>
    </w:p>
    <w:p w14:paraId="200932F3" w14:textId="77777777" w:rsidR="00217A3A" w:rsidRDefault="7B3DB2D0" w:rsidP="00217A3A">
      <w:pPr>
        <w:pStyle w:val="Lijstalinea"/>
        <w:numPr>
          <w:ilvl w:val="0"/>
          <w:numId w:val="5"/>
        </w:numPr>
        <w:rPr>
          <w:rStyle w:val="normaltextrun"/>
          <w:rFonts w:asciiTheme="minorHAnsi" w:eastAsiaTheme="minorEastAsia" w:hAnsiTheme="minorHAnsi" w:cstheme="minorBidi"/>
          <w:szCs w:val="20"/>
          <w:lang w:eastAsia="en-US"/>
        </w:rPr>
      </w:pPr>
      <w:r w:rsidRPr="7B3DB2D0">
        <w:rPr>
          <w:rStyle w:val="normaltextrun"/>
          <w:rFonts w:asciiTheme="minorHAnsi" w:eastAsiaTheme="minorEastAsia" w:hAnsiTheme="minorHAnsi" w:cstheme="minorBidi"/>
          <w:szCs w:val="20"/>
          <w:lang w:eastAsia="en-US"/>
        </w:rPr>
        <w:t xml:space="preserve">Het ministerie van Infrastructuur en Waterstaat bereidt een wijziging voor van de Waterschapswet en de Waterwet. De waterschapsbelastingen worden hiermee aangepast en knelpunten in de watersysteemheffing, de zuiveringsheffing en verontreinigingsheffing worden opgelost. Recent heeft in dit kader een internetconsultatie plaatsgevonden. Als lid van LVLB heeft BghU daaraan bijgedragen. Voorgesteld wordt de kostentoedeling van de watersysteemheffing te wijzigen van een verdeling naar WOZ-waarden naar een verdeling op basis van gebiedskenmerken, met daarbij meer ruimte voor het bestuur om binnen een bandbreedte meer of minder kosten toe te rekenen aan de categorieën heffingsplichtigen. Daarnaast wordt voorgesteld tariefdifferentiatie mogelijk te maken voor de categorie gebouwd, tussen woningen en niet-woningen, voor het corrigeren van verschillen in waardeontwikkeling. Ook wordt voorgesteld plusvoorzieningen apart te kunnen verhalen. Voor de zuiverings- en verontreinigingsheffing wordt een alternatieve meetmethode voorgesteld voor de berekening van de vervuilingswaarde van het bedrijfsafvalwater dat wordt geloosd. In het kader van verduurzaming zijn de volgende (beperkte) voorstellen gedaan voor de zuiveringsheffing: het kunnen bekostigen van hemelwaterkosten (zoals subsidiëren afkoppelen van de riolering); het via een </w:t>
      </w:r>
      <w:r w:rsidRPr="7B3DB2D0">
        <w:rPr>
          <w:rStyle w:val="normaltextrun"/>
          <w:rFonts w:asciiTheme="minorHAnsi" w:eastAsiaTheme="minorEastAsia" w:hAnsiTheme="minorHAnsi" w:cstheme="minorBidi"/>
          <w:szCs w:val="20"/>
          <w:lang w:eastAsia="en-US"/>
        </w:rPr>
        <w:lastRenderedPageBreak/>
        <w:t>experimenteerartikel een korting op de heffing mogelijk te maken bij fosfaatterugwinning; het mogelijk maken van prijsafspraken voor separate afvalwaterstromen; het behouden van de anti-afhaaksubsidie. Bij doorgang zal dit een aanpassing van de wetgeving tot gevolg hebben en een financiële vertaling van de vervolgstappen.</w:t>
      </w:r>
    </w:p>
    <w:p w14:paraId="187548F8" w14:textId="66C1488D" w:rsidR="16FBBEFD" w:rsidRPr="00217A3A" w:rsidRDefault="7B3DB2D0" w:rsidP="00217A3A">
      <w:pPr>
        <w:pStyle w:val="Lijstalinea"/>
        <w:numPr>
          <w:ilvl w:val="0"/>
          <w:numId w:val="5"/>
        </w:numPr>
        <w:rPr>
          <w:rFonts w:asciiTheme="minorHAnsi" w:eastAsiaTheme="minorEastAsia" w:hAnsiTheme="minorHAnsi" w:cstheme="minorBidi"/>
          <w:szCs w:val="20"/>
          <w:lang w:eastAsia="en-US"/>
        </w:rPr>
      </w:pPr>
      <w:r w:rsidRPr="00217A3A">
        <w:rPr>
          <w:rFonts w:asciiTheme="minorHAnsi" w:eastAsiaTheme="minorEastAsia" w:hAnsiTheme="minorHAnsi" w:cstheme="minorBidi"/>
          <w:szCs w:val="20"/>
        </w:rPr>
        <w:t xml:space="preserve"> </w:t>
      </w:r>
      <w:r w:rsidRPr="00217A3A">
        <w:rPr>
          <w:rStyle w:val="normaltextrun"/>
          <w:rFonts w:asciiTheme="minorHAnsi" w:eastAsiaTheme="minorEastAsia" w:hAnsiTheme="minorHAnsi" w:cstheme="minorBidi"/>
          <w:szCs w:val="20"/>
          <w:lang w:eastAsia="en-US"/>
        </w:rPr>
        <w:t>Het kabinet heeft besloten een nader onderzoek te starten naar het oneigenlijk gebruik van procedures (mede in relatie tot het Besluit proceskosten bestuursrecht) op een aantal bestuursrechtelijke terreinen. Met dit onderzoek wordt beoogd om inzicht te krijgen in concrete instrumenten in en/of mogelijke aanpassingen van het Besluit proceskosten bestuursrecht om oneigenlijk gebruik van procedures te voorkomen. Daarbij zal ook de verhouding tussen de werkzaamheden van professioneel gemachtigden, waaronder ncnp-bedrijven, in relatie tot de hoogte van de proceskostenvergoeding aan bod komen.</w:t>
      </w:r>
      <w:r w:rsidR="16FBBEFD">
        <w:br/>
      </w:r>
      <w:r w:rsidRPr="00217A3A">
        <w:rPr>
          <w:rStyle w:val="normaltextrun"/>
          <w:rFonts w:asciiTheme="minorHAnsi" w:eastAsiaTheme="minorEastAsia" w:hAnsiTheme="minorHAnsi" w:cstheme="minorBidi"/>
          <w:szCs w:val="20"/>
          <w:lang w:eastAsia="en-US"/>
        </w:rPr>
        <w:t xml:space="preserve"> Op 1 juli 2021 werd het Besluit proceskosten bestuursrecht aangepast, waardoor er een hoger bedrag per procespunt is gaan gelden. Deze verhoging geldt ook voor WOZ-zaken. Dat volgt uit een arrest van de Hoge Raad.  Deze verhoging geldt vanaf de beroepsfase.</w:t>
      </w:r>
    </w:p>
    <w:p w14:paraId="04A36EFC" w14:textId="004F050D" w:rsidR="16FBBEFD" w:rsidRDefault="7B3DB2D0" w:rsidP="7B3DB2D0">
      <w:pPr>
        <w:rPr>
          <w:rFonts w:asciiTheme="minorHAnsi" w:eastAsiaTheme="minorEastAsia" w:hAnsiTheme="minorHAnsi" w:cstheme="minorBidi"/>
          <w:szCs w:val="20"/>
        </w:rPr>
      </w:pPr>
      <w:r w:rsidRPr="7B3DB2D0">
        <w:rPr>
          <w:rFonts w:asciiTheme="minorHAnsi" w:eastAsiaTheme="minorEastAsia" w:hAnsiTheme="minorHAnsi" w:cstheme="minorBidi"/>
          <w:szCs w:val="20"/>
        </w:rPr>
        <w:t xml:space="preserve"> </w:t>
      </w:r>
    </w:p>
    <w:p w14:paraId="1488A4BB" w14:textId="15D68221" w:rsidR="00841C43" w:rsidRDefault="7B3DB2D0" w:rsidP="7B3DB2D0">
      <w:pPr>
        <w:rPr>
          <w:rStyle w:val="normaltextrun"/>
          <w:rFonts w:asciiTheme="minorHAnsi" w:eastAsiaTheme="minorEastAsia" w:hAnsiTheme="minorHAnsi" w:cstheme="minorBidi"/>
          <w:szCs w:val="20"/>
          <w:lang w:eastAsia="en-US"/>
        </w:rPr>
      </w:pPr>
      <w:r w:rsidRPr="7B3DB2D0">
        <w:rPr>
          <w:rStyle w:val="normaltextrun"/>
          <w:rFonts w:asciiTheme="minorHAnsi" w:eastAsiaTheme="minorEastAsia" w:hAnsiTheme="minorHAnsi" w:cstheme="minorBidi"/>
          <w:i/>
          <w:iCs/>
          <w:szCs w:val="20"/>
          <w:lang w:eastAsia="en-US"/>
        </w:rPr>
        <w:t>Ontwikkelingen bij deelnemers</w:t>
      </w:r>
      <w:r w:rsidR="00841C43">
        <w:rPr>
          <w:rStyle w:val="normaltextrun"/>
          <w:rFonts w:asciiTheme="minorHAnsi" w:eastAsiaTheme="minorEastAsia" w:hAnsiTheme="minorHAnsi" w:cstheme="minorBidi"/>
          <w:i/>
          <w:iCs/>
          <w:szCs w:val="20"/>
          <w:lang w:eastAsia="en-US"/>
        </w:rPr>
        <w:br/>
      </w:r>
      <w:r w:rsidR="00841C43">
        <w:rPr>
          <w:rStyle w:val="normaltextrun"/>
          <w:rFonts w:asciiTheme="minorHAnsi" w:eastAsiaTheme="minorEastAsia" w:hAnsiTheme="minorHAnsi" w:cstheme="minorBidi"/>
          <w:szCs w:val="20"/>
          <w:lang w:eastAsia="en-US"/>
        </w:rPr>
        <w:t xml:space="preserve">Er is zeer regelmatig contact tussen regiefunctionarissen van de deelnemers en regiefunctionaris van BghU. Hierin worden de relevante ontwikkelingen met elkaar besproken. </w:t>
      </w:r>
      <w:r w:rsidR="00841C43">
        <w:rPr>
          <w:rStyle w:val="normaltextrun"/>
          <w:rFonts w:asciiTheme="minorHAnsi" w:eastAsiaTheme="minorEastAsia" w:hAnsiTheme="minorHAnsi" w:cstheme="minorBidi"/>
          <w:szCs w:val="20"/>
          <w:lang w:eastAsia="en-US"/>
        </w:rPr>
        <w:br/>
        <w:t xml:space="preserve">Voor het opstellen van de kadernota wordt er jaarlijks een afspraak gepland tussen bestuurder van de  </w:t>
      </w:r>
      <w:r w:rsidR="009A6184">
        <w:rPr>
          <w:rStyle w:val="normaltextrun"/>
          <w:rFonts w:asciiTheme="minorHAnsi" w:eastAsiaTheme="minorEastAsia" w:hAnsiTheme="minorHAnsi" w:cstheme="minorBidi"/>
          <w:szCs w:val="20"/>
          <w:lang w:eastAsia="en-US"/>
        </w:rPr>
        <w:t xml:space="preserve">(individuele) </w:t>
      </w:r>
      <w:r w:rsidR="00841C43">
        <w:rPr>
          <w:rStyle w:val="normaltextrun"/>
          <w:rFonts w:asciiTheme="minorHAnsi" w:eastAsiaTheme="minorEastAsia" w:hAnsiTheme="minorHAnsi" w:cstheme="minorBidi"/>
          <w:szCs w:val="20"/>
          <w:lang w:eastAsia="en-US"/>
        </w:rPr>
        <w:t>deelnemer en de directeur van BghU. Hierin worden de ontwikkelingen bij de deelnemer en bij BghU besproken. Dit is van belang om tijdig op ontwikkelingen te kunnen inspelen en de dienstverlening waar mogelijk te verbeteren. Uit de recent gehouden gesprek</w:t>
      </w:r>
      <w:r w:rsidR="00D61D60">
        <w:rPr>
          <w:rStyle w:val="normaltextrun"/>
          <w:rFonts w:asciiTheme="minorHAnsi" w:eastAsiaTheme="minorEastAsia" w:hAnsiTheme="minorHAnsi" w:cstheme="minorBidi"/>
          <w:szCs w:val="20"/>
          <w:lang w:eastAsia="en-US"/>
        </w:rPr>
        <w:t>k</w:t>
      </w:r>
      <w:r w:rsidR="00841C43">
        <w:rPr>
          <w:rStyle w:val="normaltextrun"/>
          <w:rFonts w:asciiTheme="minorHAnsi" w:eastAsiaTheme="minorEastAsia" w:hAnsiTheme="minorHAnsi" w:cstheme="minorBidi"/>
          <w:szCs w:val="20"/>
          <w:lang w:eastAsia="en-US"/>
        </w:rPr>
        <w:t>en blijkt dat de deelnemers tevreden zijn over de dienstverlening zoals deze door BghU wordt geleverd. Door verschillende deelnemers is als aandachtspunt meegegeven om meer het initiatief te nemen bij beleidsvoorstellen. Hierin kunnen de verschillende keuzes worden voorgelegd en kan met argumenten worden aangegeven waar de voorkeur van BghU naar uitgaat.</w:t>
      </w:r>
    </w:p>
    <w:p w14:paraId="4CBE5090" w14:textId="6E3579A5" w:rsidR="16FBBEFD" w:rsidRPr="00841C43" w:rsidRDefault="00841C43" w:rsidP="7B3DB2D0">
      <w:pPr>
        <w:rPr>
          <w:rStyle w:val="normaltextrun"/>
          <w:rFonts w:asciiTheme="minorHAnsi" w:eastAsiaTheme="minorEastAsia" w:hAnsiTheme="minorHAnsi" w:cstheme="minorBidi"/>
          <w:szCs w:val="20"/>
          <w:lang w:eastAsia="en-US"/>
        </w:rPr>
      </w:pPr>
      <w:r>
        <w:rPr>
          <w:rStyle w:val="normaltextrun"/>
          <w:rFonts w:asciiTheme="minorHAnsi" w:eastAsiaTheme="minorEastAsia" w:hAnsiTheme="minorHAnsi" w:cstheme="minorBidi"/>
          <w:szCs w:val="20"/>
          <w:lang w:eastAsia="en-US"/>
        </w:rPr>
        <w:t xml:space="preserve"> </w:t>
      </w:r>
    </w:p>
    <w:p w14:paraId="20A1A477" w14:textId="3024A0F1" w:rsidR="16FBBEFD" w:rsidRDefault="7B3DB2D0" w:rsidP="7B3DB2D0">
      <w:pPr>
        <w:rPr>
          <w:rStyle w:val="normaltextrun"/>
          <w:rFonts w:asciiTheme="minorHAnsi" w:eastAsiaTheme="minorEastAsia" w:hAnsiTheme="minorHAnsi" w:cstheme="minorBidi"/>
          <w:szCs w:val="20"/>
          <w:lang w:eastAsia="en-US"/>
        </w:rPr>
      </w:pPr>
      <w:r w:rsidRPr="7B3DB2D0">
        <w:rPr>
          <w:rStyle w:val="normaltextrun"/>
          <w:rFonts w:asciiTheme="minorHAnsi" w:eastAsiaTheme="minorEastAsia" w:hAnsiTheme="minorHAnsi" w:cstheme="minorBidi"/>
          <w:szCs w:val="20"/>
          <w:lang w:eastAsia="en-US"/>
        </w:rPr>
        <w:t xml:space="preserve">De gemeente Utrechtse Heuvelrug heeft de mogelijkheden onderzocht om in de afvalstoffenheffing diftar in te voeren. Bestuurlijke besluitvorming zal uitwijzen of en zo ja, in welke vorm diftar ingevoerd wordt. </w:t>
      </w:r>
    </w:p>
    <w:p w14:paraId="2D63A87E" w14:textId="2CE54CF9" w:rsidR="16FBBEFD" w:rsidRDefault="7B3DB2D0" w:rsidP="7B3DB2D0">
      <w:pPr>
        <w:rPr>
          <w:rStyle w:val="normaltextrun"/>
          <w:rFonts w:asciiTheme="minorHAnsi" w:eastAsiaTheme="minorEastAsia" w:hAnsiTheme="minorHAnsi" w:cstheme="minorBidi"/>
          <w:szCs w:val="20"/>
          <w:lang w:eastAsia="en-US"/>
        </w:rPr>
      </w:pPr>
      <w:r w:rsidRPr="7B3DB2D0">
        <w:rPr>
          <w:rStyle w:val="normaltextrun"/>
          <w:rFonts w:asciiTheme="minorHAnsi" w:eastAsiaTheme="minorEastAsia" w:hAnsiTheme="minorHAnsi" w:cstheme="minorBidi"/>
          <w:szCs w:val="20"/>
          <w:lang w:eastAsia="en-US"/>
        </w:rPr>
        <w:t xml:space="preserve"> </w:t>
      </w:r>
    </w:p>
    <w:p w14:paraId="772C37EA" w14:textId="22205088" w:rsidR="16FBBEFD" w:rsidRDefault="7B3DB2D0" w:rsidP="7B3DB2D0">
      <w:pPr>
        <w:rPr>
          <w:rStyle w:val="normaltextrun"/>
          <w:rFonts w:asciiTheme="minorHAnsi" w:eastAsiaTheme="minorEastAsia" w:hAnsiTheme="minorHAnsi" w:cstheme="minorBidi"/>
          <w:szCs w:val="20"/>
          <w:lang w:eastAsia="en-US"/>
        </w:rPr>
      </w:pPr>
      <w:r w:rsidRPr="7B3DB2D0">
        <w:rPr>
          <w:rStyle w:val="normaltextrun"/>
          <w:rFonts w:asciiTheme="minorHAnsi" w:eastAsiaTheme="minorEastAsia" w:hAnsiTheme="minorHAnsi" w:cstheme="minorBidi"/>
          <w:szCs w:val="20"/>
          <w:lang w:eastAsia="en-US"/>
        </w:rPr>
        <w:t>De gemeente Utrecht onderzoekt de mogelijkheid het tarief afvalstoffenheffing voor een meerpersoonshuishouden verder te differentiëren. Nu kent men alleen een tarief voor een eenpersoons- en meerpersoonshuishouden.</w:t>
      </w:r>
    </w:p>
    <w:p w14:paraId="4F336804" w14:textId="78210503" w:rsidR="16FBBEFD" w:rsidRDefault="16FBBEFD" w:rsidP="7B3DB2D0">
      <w:pPr>
        <w:rPr>
          <w:rFonts w:asciiTheme="minorHAnsi" w:eastAsiaTheme="minorEastAsia" w:hAnsiTheme="minorHAnsi" w:cstheme="minorBidi"/>
          <w:szCs w:val="20"/>
        </w:rPr>
      </w:pPr>
    </w:p>
    <w:p w14:paraId="177F9306" w14:textId="798D5689" w:rsidR="16FBBEFD" w:rsidRDefault="7B3DB2D0" w:rsidP="7B3DB2D0">
      <w:pPr>
        <w:rPr>
          <w:rStyle w:val="normaltextrun"/>
          <w:rFonts w:asciiTheme="minorHAnsi" w:eastAsiaTheme="minorEastAsia" w:hAnsiTheme="minorHAnsi" w:cstheme="minorBidi"/>
          <w:szCs w:val="20"/>
          <w:lang w:eastAsia="en-US"/>
        </w:rPr>
      </w:pPr>
      <w:r w:rsidRPr="7B3DB2D0">
        <w:rPr>
          <w:rStyle w:val="normaltextrun"/>
          <w:rFonts w:asciiTheme="minorHAnsi" w:eastAsiaTheme="minorEastAsia" w:hAnsiTheme="minorHAnsi" w:cstheme="minorBidi"/>
          <w:szCs w:val="20"/>
          <w:lang w:eastAsia="en-US"/>
        </w:rPr>
        <w:t>Voor de gemeente Utrecht verzorgt BghU als pluspakket de naheffingen parkeeraanslagen. De afgelopen jaren vindt uitbreiding van rayons plaats in het betaald-parkeren gebied en is het aantal bezwaren enorm gegroeid.</w:t>
      </w:r>
    </w:p>
    <w:p w14:paraId="6A5B1048" w14:textId="295BE5BF" w:rsidR="16FBBEFD" w:rsidRDefault="7B3DB2D0" w:rsidP="7B3DB2D0">
      <w:pPr>
        <w:rPr>
          <w:rStyle w:val="normaltextrun"/>
          <w:rFonts w:asciiTheme="minorHAnsi" w:eastAsiaTheme="minorEastAsia" w:hAnsiTheme="minorHAnsi" w:cstheme="minorBidi"/>
          <w:szCs w:val="20"/>
          <w:lang w:eastAsia="en-US"/>
        </w:rPr>
      </w:pPr>
      <w:r w:rsidRPr="7B3DB2D0">
        <w:rPr>
          <w:rStyle w:val="normaltextrun"/>
          <w:rFonts w:asciiTheme="minorHAnsi" w:eastAsiaTheme="minorEastAsia" w:hAnsiTheme="minorHAnsi" w:cstheme="minorBidi"/>
          <w:szCs w:val="20"/>
          <w:lang w:eastAsia="en-US"/>
        </w:rPr>
        <w:t xml:space="preserve">Opvolgende uitbreidingen zullen naar verwachting aanzienlijk grotere gebieden per keer zijn aangezien er op termijn plannen zijn om in heel Utrecht betaald-parkeren in te voeren (zie pagina 38 van het </w:t>
      </w:r>
      <w:hyperlink r:id="rId16">
        <w:r w:rsidRPr="7B3DB2D0">
          <w:rPr>
            <w:rStyle w:val="normaltextrun"/>
            <w:rFonts w:asciiTheme="minorHAnsi" w:eastAsiaTheme="minorEastAsia" w:hAnsiTheme="minorHAnsi" w:cstheme="minorBidi"/>
            <w:szCs w:val="20"/>
            <w:lang w:eastAsia="en-US"/>
          </w:rPr>
          <w:t>coalitieakkoord)</w:t>
        </w:r>
      </w:hyperlink>
      <w:r w:rsidRPr="7B3DB2D0">
        <w:rPr>
          <w:rStyle w:val="normaltextrun"/>
          <w:rFonts w:asciiTheme="minorHAnsi" w:eastAsiaTheme="minorEastAsia" w:hAnsiTheme="minorHAnsi" w:cstheme="minorBidi"/>
          <w:szCs w:val="20"/>
          <w:lang w:eastAsia="en-US"/>
        </w:rPr>
        <w:t xml:space="preserve">. Verwachting is dat dit vanaf begin 2024 zal spelen; tot die tijd komen er waarschijnlijk geen andere nieuwe rayons bij. </w:t>
      </w:r>
    </w:p>
    <w:p w14:paraId="1A88BF95" w14:textId="77D71130" w:rsidR="16FBBEFD" w:rsidRDefault="16FBBEFD" w:rsidP="7B3DB2D0">
      <w:pPr>
        <w:rPr>
          <w:rFonts w:asciiTheme="minorHAnsi" w:eastAsiaTheme="minorEastAsia" w:hAnsiTheme="minorHAnsi" w:cstheme="minorBidi"/>
          <w:szCs w:val="20"/>
        </w:rPr>
      </w:pPr>
      <w:r>
        <w:br/>
      </w:r>
    </w:p>
    <w:p w14:paraId="709D5170" w14:textId="45898D61" w:rsidR="16FBBEFD" w:rsidRDefault="00AD006A" w:rsidP="7B3DB2D0">
      <w:pPr>
        <w:rPr>
          <w:rFonts w:asciiTheme="minorHAnsi" w:eastAsiaTheme="minorEastAsia" w:hAnsiTheme="minorHAnsi" w:cstheme="minorBidi"/>
          <w:szCs w:val="20"/>
        </w:rPr>
      </w:pPr>
      <w:hyperlink r:id="rId17" w:anchor="_ftnref1">
        <w:r w:rsidR="7B3DB2D0" w:rsidRPr="7B3DB2D0">
          <w:rPr>
            <w:rStyle w:val="Hyperlink"/>
            <w:rFonts w:asciiTheme="minorHAnsi" w:eastAsiaTheme="minorEastAsia" w:hAnsiTheme="minorHAnsi" w:cstheme="minorBidi"/>
            <w:szCs w:val="20"/>
            <w:vertAlign w:val="superscript"/>
          </w:rPr>
          <w:t>[1]</w:t>
        </w:r>
      </w:hyperlink>
      <w:r w:rsidR="7B3DB2D0" w:rsidRPr="7B3DB2D0">
        <w:rPr>
          <w:rFonts w:asciiTheme="minorHAnsi" w:eastAsiaTheme="minorEastAsia" w:hAnsiTheme="minorHAnsi" w:cstheme="minorBidi"/>
          <w:szCs w:val="20"/>
        </w:rPr>
        <w:t xml:space="preserve"> </w:t>
      </w:r>
      <w:r w:rsidR="7B3DB2D0" w:rsidRPr="7B3DB2D0">
        <w:rPr>
          <w:rFonts w:asciiTheme="minorHAnsi" w:eastAsiaTheme="minorEastAsia" w:hAnsiTheme="minorHAnsi" w:cstheme="minorBidi"/>
          <w:i/>
          <w:iCs/>
          <w:szCs w:val="20"/>
        </w:rPr>
        <w:t>Kamerstukken</w:t>
      </w:r>
      <w:r w:rsidR="7B3DB2D0" w:rsidRPr="7B3DB2D0">
        <w:rPr>
          <w:rFonts w:asciiTheme="minorHAnsi" w:eastAsiaTheme="minorEastAsia" w:hAnsiTheme="minorHAnsi" w:cstheme="minorBidi"/>
          <w:szCs w:val="20"/>
        </w:rPr>
        <w:t xml:space="preserve"> II 2021-2022, 35 925, nr. 145, vragen 20 en 46-48.</w:t>
      </w:r>
    </w:p>
    <w:p w14:paraId="233C5870" w14:textId="6F4C1F0B" w:rsidR="16FBBEFD" w:rsidRDefault="16FBBEFD" w:rsidP="16FBBEFD">
      <w:pPr>
        <w:rPr>
          <w:rFonts w:asciiTheme="minorHAnsi" w:hAnsiTheme="minorHAnsi" w:cstheme="minorBidi"/>
          <w:highlight w:val="yellow"/>
        </w:rPr>
      </w:pPr>
    </w:p>
    <w:p w14:paraId="084330CD" w14:textId="77777777" w:rsidR="00E02DAE" w:rsidRDefault="00E02DAE">
      <w:pPr>
        <w:spacing w:after="200" w:line="276" w:lineRule="auto"/>
        <w:rPr>
          <w:rFonts w:asciiTheme="minorHAnsi" w:hAnsiTheme="minorHAnsi" w:cstheme="minorHAnsi"/>
        </w:rPr>
      </w:pPr>
    </w:p>
    <w:p w14:paraId="5955CE58" w14:textId="77777777" w:rsidR="00DF74F2" w:rsidRDefault="00DF74F2">
      <w:pPr>
        <w:spacing w:after="200" w:line="276" w:lineRule="auto"/>
        <w:rPr>
          <w:rFonts w:asciiTheme="minorHAnsi" w:hAnsiTheme="minorHAnsi" w:cs="Arial"/>
          <w:bCs/>
          <w:color w:val="E10E49"/>
          <w:kern w:val="32"/>
          <w:sz w:val="32"/>
          <w:szCs w:val="32"/>
        </w:rPr>
      </w:pPr>
      <w:r>
        <w:br w:type="page"/>
      </w:r>
    </w:p>
    <w:p w14:paraId="14B3EA0A" w14:textId="6DBBD135" w:rsidR="00E02DAE" w:rsidRDefault="00E02DAE" w:rsidP="00E02DAE">
      <w:pPr>
        <w:pStyle w:val="Kop1"/>
      </w:pPr>
      <w:bookmarkStart w:id="24" w:name="_Toc121747474"/>
      <w:r>
        <w:lastRenderedPageBreak/>
        <w:t>4. Ontwikkeling programma’s</w:t>
      </w:r>
      <w:bookmarkEnd w:id="24"/>
    </w:p>
    <w:p w14:paraId="139004FF" w14:textId="28133442" w:rsidR="00E02DAE" w:rsidRDefault="7B3DB2D0" w:rsidP="00E02DAE">
      <w:pPr>
        <w:pStyle w:val="Kop2"/>
      </w:pPr>
      <w:bookmarkStart w:id="25" w:name="_Toc121747475"/>
      <w:r>
        <w:t>4.1 Algemeen</w:t>
      </w:r>
      <w:bookmarkEnd w:id="25"/>
    </w:p>
    <w:p w14:paraId="37B627E4" w14:textId="2F74ECF1" w:rsidR="00D962DB" w:rsidRPr="004E7339" w:rsidRDefault="00D962DB" w:rsidP="16FBBEFD">
      <w:pPr>
        <w:pStyle w:val="paragraph"/>
        <w:spacing w:before="0" w:beforeAutospacing="0" w:after="0" w:afterAutospacing="0"/>
        <w:jc w:val="both"/>
        <w:textAlignment w:val="baseline"/>
        <w:rPr>
          <w:rFonts w:asciiTheme="minorHAnsi" w:hAnsiTheme="minorHAnsi" w:cstheme="minorBidi"/>
          <w:highlight w:val="yellow"/>
        </w:rPr>
      </w:pPr>
    </w:p>
    <w:p w14:paraId="1D7CF61F" w14:textId="3A3427FC" w:rsidR="00D962DB" w:rsidRPr="004E7339" w:rsidRDefault="7B3DB2D0" w:rsidP="00B90249">
      <w:pPr>
        <w:textAlignment w:val="baseline"/>
        <w:rPr>
          <w:rFonts w:asciiTheme="minorHAnsi" w:eastAsiaTheme="minorEastAsia" w:hAnsiTheme="minorHAnsi" w:cstheme="minorBidi"/>
          <w:i/>
          <w:iCs/>
          <w:szCs w:val="20"/>
        </w:rPr>
      </w:pPr>
      <w:r w:rsidRPr="7B3DB2D0">
        <w:rPr>
          <w:rFonts w:asciiTheme="minorHAnsi" w:eastAsiaTheme="minorEastAsia" w:hAnsiTheme="minorHAnsi" w:cstheme="minorBidi"/>
          <w:i/>
          <w:iCs/>
          <w:szCs w:val="20"/>
        </w:rPr>
        <w:t>Implementatie Belastingpakket inclusief digitaal loket</w:t>
      </w:r>
    </w:p>
    <w:p w14:paraId="554A04AA" w14:textId="49A07591" w:rsidR="00D962DB" w:rsidRPr="004E7339" w:rsidRDefault="7B3DB2D0" w:rsidP="00B90249">
      <w:pPr>
        <w:textAlignment w:val="baseline"/>
        <w:rPr>
          <w:rFonts w:asciiTheme="minorHAnsi" w:eastAsiaTheme="minorEastAsia" w:hAnsiTheme="minorHAnsi" w:cstheme="minorBidi"/>
          <w:szCs w:val="20"/>
        </w:rPr>
      </w:pPr>
      <w:r w:rsidRPr="7B3DB2D0">
        <w:rPr>
          <w:rFonts w:asciiTheme="minorHAnsi" w:eastAsiaTheme="minorEastAsia" w:hAnsiTheme="minorHAnsi" w:cstheme="minorBidi"/>
          <w:szCs w:val="20"/>
        </w:rPr>
        <w:t>De implementatie van een nieuw belastingpakket is eind 2022 gerealiseerd. Na deze implementatie is ieder proces, document en overzichten opnieuw ingericht. De komende maanden zullen staan in het teken van de gecombineerde aanslagen in januari en februari 2023 vanuit de nieuwe applicaties. Ook het digitale portal voor inwoners en bedrijven is veranderd. Er is een nieuw digitaal loket voor inwoners en ondernemers met een vernieuwde interface en nieuwe formulieren. Dit zorgt de komende jaren voor een nog bredere dienstverlening, zodat inwoners en ondernemers nog beter digitaal kunnen communiceren met BghU.</w:t>
      </w:r>
    </w:p>
    <w:p w14:paraId="1CE06895" w14:textId="73975CA0" w:rsidR="00D962DB" w:rsidRPr="004E7339" w:rsidRDefault="00D962DB" w:rsidP="00B90249">
      <w:pPr>
        <w:textAlignment w:val="baseline"/>
        <w:rPr>
          <w:rFonts w:asciiTheme="minorHAnsi" w:eastAsiaTheme="minorEastAsia" w:hAnsiTheme="minorHAnsi" w:cstheme="minorBidi"/>
          <w:szCs w:val="20"/>
        </w:rPr>
      </w:pPr>
    </w:p>
    <w:p w14:paraId="5C049147" w14:textId="377D401E" w:rsidR="00D962DB" w:rsidRPr="004E7339" w:rsidRDefault="7B3DB2D0" w:rsidP="00B90249">
      <w:pPr>
        <w:pStyle w:val="paragraph"/>
        <w:spacing w:before="0" w:beforeAutospacing="0" w:after="0" w:afterAutospacing="0"/>
        <w:textAlignment w:val="baseline"/>
        <w:rPr>
          <w:rStyle w:val="normaltextrun"/>
          <w:rFonts w:asciiTheme="minorHAnsi" w:eastAsiaTheme="minorEastAsia" w:hAnsiTheme="minorHAnsi" w:cstheme="minorBidi"/>
          <w:szCs w:val="20"/>
        </w:rPr>
      </w:pPr>
      <w:r w:rsidRPr="7B3DB2D0">
        <w:rPr>
          <w:rStyle w:val="normaltextrun"/>
          <w:rFonts w:asciiTheme="minorHAnsi" w:eastAsiaTheme="minorEastAsia" w:hAnsiTheme="minorHAnsi" w:cstheme="minorBidi"/>
          <w:szCs w:val="20"/>
        </w:rPr>
        <w:t xml:space="preserve">Na implementatie van het nieuwe belastingsysteem worden er ook voordelen verwacht van: </w:t>
      </w:r>
    </w:p>
    <w:p w14:paraId="740CFAFB" w14:textId="3974C428" w:rsidR="00D962DB" w:rsidRPr="004E7339" w:rsidRDefault="7B3DB2D0" w:rsidP="00B90249">
      <w:pPr>
        <w:pStyle w:val="paragraph"/>
        <w:numPr>
          <w:ilvl w:val="0"/>
          <w:numId w:val="11"/>
        </w:numPr>
        <w:spacing w:before="0" w:beforeAutospacing="0" w:after="0" w:afterAutospacing="0"/>
        <w:textAlignment w:val="baseline"/>
        <w:rPr>
          <w:rStyle w:val="normaltextrun"/>
          <w:rFonts w:asciiTheme="minorHAnsi" w:eastAsiaTheme="minorEastAsia" w:hAnsiTheme="minorHAnsi" w:cstheme="minorBidi"/>
          <w:szCs w:val="20"/>
        </w:rPr>
      </w:pPr>
      <w:r w:rsidRPr="7B3DB2D0">
        <w:rPr>
          <w:rStyle w:val="normaltextrun"/>
          <w:rFonts w:asciiTheme="minorHAnsi" w:eastAsiaTheme="minorEastAsia" w:hAnsiTheme="minorHAnsi" w:cstheme="minorBidi"/>
          <w:szCs w:val="20"/>
        </w:rPr>
        <w:t>Het zaakgericht werken en het gebruik van metadata waardoor processen (deels) geautomatiseerd kunnen worden verwerkt en afgehandeld. Het komende jaar staat in het teken van de aanbesteding print-druk en scanwerk waarin deze werkzaamheden meegenomen zullen worden;</w:t>
      </w:r>
    </w:p>
    <w:p w14:paraId="4087B613" w14:textId="3E6E9C12" w:rsidR="00D962DB" w:rsidRPr="004E7339" w:rsidRDefault="7B3DB2D0" w:rsidP="00B90249">
      <w:pPr>
        <w:pStyle w:val="paragraph"/>
        <w:numPr>
          <w:ilvl w:val="0"/>
          <w:numId w:val="11"/>
        </w:numPr>
        <w:spacing w:before="0" w:beforeAutospacing="0" w:after="0" w:afterAutospacing="0"/>
        <w:textAlignment w:val="baseline"/>
        <w:rPr>
          <w:rStyle w:val="normaltextrun"/>
          <w:rFonts w:asciiTheme="minorHAnsi" w:eastAsiaTheme="minorEastAsia" w:hAnsiTheme="minorHAnsi" w:cstheme="minorBidi"/>
          <w:szCs w:val="20"/>
        </w:rPr>
      </w:pPr>
      <w:r w:rsidRPr="7B3DB2D0">
        <w:rPr>
          <w:rStyle w:val="normaltextrun"/>
          <w:rFonts w:asciiTheme="minorHAnsi" w:eastAsiaTheme="minorEastAsia" w:hAnsiTheme="minorHAnsi" w:cstheme="minorBidi"/>
          <w:szCs w:val="20"/>
        </w:rPr>
        <w:t>De mogelijkheid om bepaalde processen op basis van nieuwe technieken te gaan automatiseren;</w:t>
      </w:r>
    </w:p>
    <w:p w14:paraId="4EAA35E1" w14:textId="77777777" w:rsidR="00D962DB" w:rsidRPr="004E7339" w:rsidRDefault="7B3DB2D0" w:rsidP="00B90249">
      <w:pPr>
        <w:pStyle w:val="paragraph"/>
        <w:numPr>
          <w:ilvl w:val="0"/>
          <w:numId w:val="11"/>
        </w:numPr>
        <w:spacing w:before="0" w:beforeAutospacing="0" w:after="0" w:afterAutospacing="0"/>
        <w:textAlignment w:val="baseline"/>
        <w:rPr>
          <w:rStyle w:val="normaltextrun"/>
          <w:rFonts w:asciiTheme="minorHAnsi" w:eastAsiaTheme="minorEastAsia" w:hAnsiTheme="minorHAnsi" w:cstheme="minorBidi"/>
          <w:szCs w:val="20"/>
        </w:rPr>
      </w:pPr>
      <w:r w:rsidRPr="7B3DB2D0">
        <w:rPr>
          <w:rStyle w:val="normaltextrun"/>
          <w:rFonts w:asciiTheme="minorHAnsi" w:eastAsiaTheme="minorEastAsia" w:hAnsiTheme="minorHAnsi" w:cstheme="minorBidi"/>
          <w:szCs w:val="20"/>
        </w:rPr>
        <w:t>De mogelijkheid om bepaalde repeterende werkzaamheden te robotiseren waardoor er meer tijd vrij komt om de kwaliteit van de data en de processen te verbeteren;</w:t>
      </w:r>
    </w:p>
    <w:p w14:paraId="384E3CBD" w14:textId="77777777" w:rsidR="00D962DB" w:rsidRPr="004E7339" w:rsidRDefault="7B3DB2D0" w:rsidP="00B90249">
      <w:pPr>
        <w:pStyle w:val="paragraph"/>
        <w:numPr>
          <w:ilvl w:val="0"/>
          <w:numId w:val="11"/>
        </w:numPr>
        <w:spacing w:before="0" w:beforeAutospacing="0" w:after="0" w:afterAutospacing="0"/>
        <w:textAlignment w:val="baseline"/>
        <w:rPr>
          <w:rStyle w:val="normaltextrun"/>
          <w:rFonts w:asciiTheme="minorHAnsi" w:eastAsiaTheme="minorEastAsia" w:hAnsiTheme="minorHAnsi" w:cstheme="minorBidi"/>
          <w:szCs w:val="20"/>
        </w:rPr>
      </w:pPr>
      <w:r w:rsidRPr="7B3DB2D0">
        <w:rPr>
          <w:rStyle w:val="normaltextrun"/>
          <w:rFonts w:asciiTheme="minorHAnsi" w:eastAsiaTheme="minorEastAsia" w:hAnsiTheme="minorHAnsi" w:cstheme="minorBidi"/>
          <w:szCs w:val="20"/>
        </w:rPr>
        <w:t>Meer focus op het persoonlijk contact en de ‘aanslag in een keer goed’;</w:t>
      </w:r>
    </w:p>
    <w:p w14:paraId="60D7E0F6" w14:textId="77777777" w:rsidR="00D962DB" w:rsidRPr="004E7339" w:rsidRDefault="7B3DB2D0" w:rsidP="00B90249">
      <w:pPr>
        <w:pStyle w:val="paragraph"/>
        <w:numPr>
          <w:ilvl w:val="0"/>
          <w:numId w:val="11"/>
        </w:numPr>
        <w:spacing w:before="0" w:beforeAutospacing="0" w:after="0" w:afterAutospacing="0"/>
        <w:textAlignment w:val="baseline"/>
        <w:rPr>
          <w:rStyle w:val="normaltextrun"/>
          <w:rFonts w:asciiTheme="minorHAnsi" w:eastAsiaTheme="minorEastAsia" w:hAnsiTheme="minorHAnsi" w:cstheme="minorBidi"/>
          <w:szCs w:val="20"/>
        </w:rPr>
      </w:pPr>
      <w:r w:rsidRPr="7B3DB2D0">
        <w:rPr>
          <w:rStyle w:val="normaltextrun"/>
          <w:rFonts w:asciiTheme="minorHAnsi" w:eastAsiaTheme="minorEastAsia" w:hAnsiTheme="minorHAnsi" w:cstheme="minorBidi"/>
          <w:szCs w:val="20"/>
        </w:rPr>
        <w:t xml:space="preserve">Verbetering van de communicatie met inwoners; </w:t>
      </w:r>
    </w:p>
    <w:p w14:paraId="3BFD9671" w14:textId="77777777" w:rsidR="00D962DB" w:rsidRPr="004E7339" w:rsidRDefault="7B3DB2D0" w:rsidP="00B90249">
      <w:pPr>
        <w:pStyle w:val="paragraph"/>
        <w:numPr>
          <w:ilvl w:val="0"/>
          <w:numId w:val="11"/>
        </w:numPr>
        <w:spacing w:before="0" w:beforeAutospacing="0" w:after="0" w:afterAutospacing="0"/>
        <w:textAlignment w:val="baseline"/>
        <w:rPr>
          <w:rStyle w:val="normaltextrun"/>
          <w:rFonts w:asciiTheme="minorHAnsi" w:eastAsiaTheme="minorEastAsia" w:hAnsiTheme="minorHAnsi" w:cstheme="minorBidi"/>
          <w:szCs w:val="20"/>
        </w:rPr>
      </w:pPr>
      <w:r w:rsidRPr="7B3DB2D0">
        <w:rPr>
          <w:rStyle w:val="normaltextrun"/>
          <w:rFonts w:asciiTheme="minorHAnsi" w:eastAsiaTheme="minorEastAsia" w:hAnsiTheme="minorHAnsi" w:cstheme="minorBidi"/>
          <w:szCs w:val="20"/>
        </w:rPr>
        <w:t>Er meer mogelijkheden ontstaan om betere realtime dashboards te ontwikkelen die een goed beeld geven van de stand van zaken van de organisatie, het management en de medewerker;</w:t>
      </w:r>
    </w:p>
    <w:p w14:paraId="5CBC034E" w14:textId="74B96392" w:rsidR="00D962DB" w:rsidRPr="00456BA1" w:rsidRDefault="7B3DB2D0" w:rsidP="00B90249">
      <w:pPr>
        <w:pStyle w:val="paragraph"/>
        <w:numPr>
          <w:ilvl w:val="0"/>
          <w:numId w:val="11"/>
        </w:numPr>
        <w:spacing w:before="0" w:beforeAutospacing="0" w:after="0" w:afterAutospacing="0"/>
        <w:textAlignment w:val="baseline"/>
        <w:rPr>
          <w:rStyle w:val="normaltextrun"/>
          <w:rFonts w:asciiTheme="minorHAnsi" w:eastAsiaTheme="minorEastAsia" w:hAnsiTheme="minorHAnsi" w:cstheme="minorBidi"/>
          <w:szCs w:val="20"/>
        </w:rPr>
      </w:pPr>
      <w:r w:rsidRPr="7B3DB2D0">
        <w:rPr>
          <w:rStyle w:val="normaltextrun"/>
          <w:rFonts w:asciiTheme="minorHAnsi" w:eastAsiaTheme="minorEastAsia" w:hAnsiTheme="minorHAnsi" w:cstheme="minorBidi"/>
          <w:szCs w:val="20"/>
        </w:rPr>
        <w:t>Het verbeteren van de interne controle van de uitvoerings- en financiële processen.</w:t>
      </w:r>
    </w:p>
    <w:p w14:paraId="14CDE02A" w14:textId="77777777" w:rsidR="009271D8" w:rsidRDefault="009271D8" w:rsidP="00B90249">
      <w:pPr>
        <w:pStyle w:val="paragraph"/>
        <w:spacing w:before="0" w:beforeAutospacing="0" w:after="0" w:afterAutospacing="0"/>
        <w:textAlignment w:val="baseline"/>
        <w:rPr>
          <w:rStyle w:val="normaltextrun"/>
          <w:rFonts w:asciiTheme="minorHAnsi" w:eastAsiaTheme="minorEastAsia" w:hAnsiTheme="minorHAnsi" w:cstheme="minorBidi"/>
          <w:i/>
          <w:iCs/>
          <w:szCs w:val="20"/>
        </w:rPr>
      </w:pPr>
    </w:p>
    <w:p w14:paraId="640543B7" w14:textId="63D8F222" w:rsidR="00456BA1" w:rsidRDefault="7B3DB2D0" w:rsidP="00B90249">
      <w:pPr>
        <w:pStyle w:val="paragraph"/>
        <w:spacing w:before="0" w:beforeAutospacing="0" w:after="0" w:afterAutospacing="0"/>
        <w:textAlignment w:val="baseline"/>
        <w:rPr>
          <w:rStyle w:val="normaltextrun"/>
          <w:rFonts w:asciiTheme="minorHAnsi" w:eastAsiaTheme="minorEastAsia" w:hAnsiTheme="minorHAnsi" w:cstheme="minorBidi"/>
          <w:i/>
          <w:iCs/>
          <w:szCs w:val="20"/>
        </w:rPr>
      </w:pPr>
      <w:r w:rsidRPr="7B3DB2D0">
        <w:rPr>
          <w:rStyle w:val="normaltextrun"/>
          <w:rFonts w:asciiTheme="minorHAnsi" w:eastAsiaTheme="minorEastAsia" w:hAnsiTheme="minorHAnsi" w:cstheme="minorBidi"/>
          <w:i/>
          <w:iCs/>
          <w:szCs w:val="20"/>
        </w:rPr>
        <w:t>Implementatie BAG</w:t>
      </w:r>
    </w:p>
    <w:p w14:paraId="782A78FE" w14:textId="6045C91F" w:rsidR="007D0414" w:rsidRDefault="7B3DB2D0" w:rsidP="00B90249">
      <w:pPr>
        <w:pStyle w:val="paragraph"/>
        <w:spacing w:before="0" w:beforeAutospacing="0" w:after="0" w:afterAutospacing="0"/>
        <w:textAlignment w:val="baseline"/>
        <w:rPr>
          <w:rStyle w:val="normaltextrun"/>
          <w:rFonts w:asciiTheme="minorHAnsi" w:eastAsiaTheme="minorEastAsia" w:hAnsiTheme="minorHAnsi" w:cstheme="minorBidi"/>
          <w:szCs w:val="20"/>
        </w:rPr>
      </w:pPr>
      <w:r w:rsidRPr="7B3DB2D0">
        <w:rPr>
          <w:rStyle w:val="normaltextrun"/>
          <w:rFonts w:asciiTheme="minorHAnsi" w:eastAsiaTheme="minorEastAsia" w:hAnsiTheme="minorHAnsi" w:cstheme="minorBidi"/>
          <w:szCs w:val="20"/>
        </w:rPr>
        <w:t>In 2022 is de implementatie van de nieuwe applicatie voor het uitvoeren van de BAG-werkzaamheden met succes afgerond. Zonder noemenswaardige problemen is deze applicatie online gegaan en hebben inwoners, ondernemers en afnemers zoals de gemeente Lopik geen overlast ondervonden van deze overgang. Voor BghU was dit slechts een eerste stap in het traject wat met deze leverancier in de aanbesteding is afgesproken. In deze eerste fase zal gestart worden met de doorontwikkeling van de applicatie die ertoe moet leiden dat BghU eind 2025</w:t>
      </w:r>
      <w:r w:rsidR="00046066">
        <w:rPr>
          <w:rStyle w:val="normaltextrun"/>
          <w:rFonts w:asciiTheme="minorHAnsi" w:eastAsiaTheme="minorEastAsia" w:hAnsiTheme="minorHAnsi" w:cstheme="minorBidi"/>
          <w:szCs w:val="20"/>
        </w:rPr>
        <w:t xml:space="preserve"> in</w:t>
      </w:r>
      <w:r w:rsidRPr="7B3DB2D0">
        <w:rPr>
          <w:rStyle w:val="normaltextrun"/>
          <w:rFonts w:asciiTheme="minorHAnsi" w:eastAsiaTheme="minorEastAsia" w:hAnsiTheme="minorHAnsi" w:cstheme="minorBidi"/>
          <w:szCs w:val="20"/>
        </w:rPr>
        <w:t xml:space="preserve"> staat zal zijn het samenhangend objectenbeheer uit te voeren voor al haar deelnemers. Dit zal in twee aanvullende fases worden opgebouwd:  </w:t>
      </w:r>
    </w:p>
    <w:p w14:paraId="3929888D" w14:textId="2BAF7624" w:rsidR="009271D8" w:rsidRDefault="7B3DB2D0" w:rsidP="00B90249">
      <w:pPr>
        <w:pStyle w:val="paragraph"/>
        <w:numPr>
          <w:ilvl w:val="0"/>
          <w:numId w:val="11"/>
        </w:numPr>
        <w:spacing w:before="0" w:beforeAutospacing="0" w:after="0" w:afterAutospacing="0"/>
        <w:textAlignment w:val="baseline"/>
        <w:rPr>
          <w:rStyle w:val="normaltextrun"/>
          <w:rFonts w:asciiTheme="minorHAnsi" w:eastAsiaTheme="minorEastAsia" w:hAnsiTheme="minorHAnsi" w:cstheme="minorBidi"/>
          <w:szCs w:val="20"/>
        </w:rPr>
      </w:pPr>
      <w:r w:rsidRPr="7B3DB2D0">
        <w:rPr>
          <w:rStyle w:val="normaltextrun"/>
          <w:rFonts w:asciiTheme="minorHAnsi" w:eastAsiaTheme="minorEastAsia" w:hAnsiTheme="minorHAnsi" w:cstheme="minorBidi"/>
          <w:szCs w:val="20"/>
        </w:rPr>
        <w:t>In fase 2</w:t>
      </w:r>
      <w:r w:rsidR="00046066">
        <w:rPr>
          <w:rStyle w:val="normaltextrun"/>
          <w:rFonts w:asciiTheme="minorHAnsi" w:eastAsiaTheme="minorEastAsia" w:hAnsiTheme="minorHAnsi" w:cstheme="minorBidi"/>
          <w:szCs w:val="20"/>
        </w:rPr>
        <w:t>,</w:t>
      </w:r>
      <w:r w:rsidRPr="7B3DB2D0">
        <w:rPr>
          <w:rStyle w:val="normaltextrun"/>
          <w:rFonts w:asciiTheme="minorHAnsi" w:eastAsiaTheme="minorEastAsia" w:hAnsiTheme="minorHAnsi" w:cstheme="minorBidi"/>
          <w:szCs w:val="20"/>
        </w:rPr>
        <w:t xml:space="preserve"> vanaf 1 januari 2024</w:t>
      </w:r>
      <w:r w:rsidR="00046066">
        <w:rPr>
          <w:rStyle w:val="normaltextrun"/>
          <w:rFonts w:asciiTheme="minorHAnsi" w:eastAsiaTheme="minorEastAsia" w:hAnsiTheme="minorHAnsi" w:cstheme="minorBidi"/>
          <w:szCs w:val="20"/>
        </w:rPr>
        <w:t>,</w:t>
      </w:r>
      <w:r w:rsidRPr="7B3DB2D0">
        <w:rPr>
          <w:rStyle w:val="normaltextrun"/>
          <w:rFonts w:asciiTheme="minorHAnsi" w:eastAsiaTheme="minorEastAsia" w:hAnsiTheme="minorHAnsi" w:cstheme="minorBidi"/>
          <w:szCs w:val="20"/>
        </w:rPr>
        <w:t xml:space="preserve"> zal de applicatie in staat zijn om volledig geautomatiseerd WOZ-objecten aan te maken, deze te voorzien van objectkenmerken en onderdelen en een BAG-WOZ relatie uit te voeren en te beheren;</w:t>
      </w:r>
    </w:p>
    <w:p w14:paraId="039A020A" w14:textId="19F60FB9" w:rsidR="00C40D96" w:rsidRDefault="7B3DB2D0" w:rsidP="00B90249">
      <w:pPr>
        <w:pStyle w:val="paragraph"/>
        <w:numPr>
          <w:ilvl w:val="0"/>
          <w:numId w:val="11"/>
        </w:numPr>
        <w:spacing w:before="0" w:beforeAutospacing="0" w:after="0" w:afterAutospacing="0"/>
        <w:textAlignment w:val="baseline"/>
        <w:rPr>
          <w:rStyle w:val="normaltextrun"/>
          <w:rFonts w:asciiTheme="minorHAnsi" w:eastAsiaTheme="minorEastAsia" w:hAnsiTheme="minorHAnsi" w:cstheme="minorBidi"/>
          <w:szCs w:val="20"/>
        </w:rPr>
      </w:pPr>
      <w:r w:rsidRPr="7B3DB2D0">
        <w:rPr>
          <w:rStyle w:val="normaltextrun"/>
          <w:rFonts w:asciiTheme="minorHAnsi" w:eastAsiaTheme="minorEastAsia" w:hAnsiTheme="minorHAnsi" w:cstheme="minorBidi"/>
          <w:szCs w:val="20"/>
        </w:rPr>
        <w:t>In fase 3</w:t>
      </w:r>
      <w:r w:rsidR="00046066">
        <w:rPr>
          <w:rStyle w:val="normaltextrun"/>
          <w:rFonts w:asciiTheme="minorHAnsi" w:eastAsiaTheme="minorEastAsia" w:hAnsiTheme="minorHAnsi" w:cstheme="minorBidi"/>
          <w:szCs w:val="20"/>
        </w:rPr>
        <w:t xml:space="preserve">, die </w:t>
      </w:r>
      <w:r w:rsidRPr="7B3DB2D0">
        <w:rPr>
          <w:rStyle w:val="normaltextrun"/>
          <w:rFonts w:asciiTheme="minorHAnsi" w:eastAsiaTheme="minorEastAsia" w:hAnsiTheme="minorHAnsi" w:cstheme="minorBidi"/>
          <w:szCs w:val="20"/>
        </w:rPr>
        <w:t xml:space="preserve">vanaf 1 januari 2025 zal </w:t>
      </w:r>
      <w:r w:rsidR="00046066">
        <w:rPr>
          <w:rStyle w:val="normaltextrun"/>
          <w:rFonts w:asciiTheme="minorHAnsi" w:eastAsiaTheme="minorEastAsia" w:hAnsiTheme="minorHAnsi" w:cstheme="minorBidi"/>
          <w:szCs w:val="20"/>
        </w:rPr>
        <w:t xml:space="preserve">starten, </w:t>
      </w:r>
      <w:r w:rsidRPr="7B3DB2D0">
        <w:rPr>
          <w:rStyle w:val="normaltextrun"/>
          <w:rFonts w:asciiTheme="minorHAnsi" w:eastAsiaTheme="minorEastAsia" w:hAnsiTheme="minorHAnsi" w:cstheme="minorBidi"/>
          <w:szCs w:val="20"/>
        </w:rPr>
        <w:t>zal de applicatie afhankelijk van zowel de interne ontwikkelingen bij BghU als ook de landelijke ontwikkelingen rondom de SOR en het verloop van Fase 2 gedefinieerde uitgangspunten ook in staat zijn alle processen en werkzaamheden geautomatiseerd (gerobotiseerd) te ondersteunen voor het beheer van een integraal objectenbeheer (o.a.de WOZ-objectvorming, de kadastrale verwerking en persoons- en bedrijfsgegevens)</w:t>
      </w:r>
    </w:p>
    <w:p w14:paraId="226F1306" w14:textId="77777777" w:rsidR="00392E7D" w:rsidRDefault="00392E7D" w:rsidP="00B90249">
      <w:pPr>
        <w:pStyle w:val="paragraph"/>
        <w:spacing w:before="0" w:beforeAutospacing="0" w:after="0" w:afterAutospacing="0"/>
        <w:textAlignment w:val="baseline"/>
        <w:rPr>
          <w:rStyle w:val="normaltextrun"/>
          <w:rFonts w:asciiTheme="minorHAnsi" w:eastAsiaTheme="minorEastAsia" w:hAnsiTheme="minorHAnsi" w:cstheme="minorBidi"/>
          <w:szCs w:val="20"/>
        </w:rPr>
      </w:pPr>
    </w:p>
    <w:p w14:paraId="4102ACA3" w14:textId="1AF41FA7" w:rsidR="00225328" w:rsidRPr="00C06ADD" w:rsidRDefault="7B3DB2D0" w:rsidP="00B90249">
      <w:pPr>
        <w:pStyle w:val="paragraph"/>
        <w:spacing w:before="0" w:beforeAutospacing="0" w:after="0" w:afterAutospacing="0"/>
        <w:textAlignment w:val="baseline"/>
        <w:rPr>
          <w:rStyle w:val="normaltextrun"/>
          <w:rFonts w:asciiTheme="minorHAnsi" w:eastAsiaTheme="minorEastAsia" w:hAnsiTheme="minorHAnsi" w:cstheme="minorBidi"/>
          <w:i/>
          <w:iCs/>
          <w:szCs w:val="20"/>
        </w:rPr>
      </w:pPr>
      <w:r w:rsidRPr="7B3DB2D0">
        <w:rPr>
          <w:rStyle w:val="normaltextrun"/>
          <w:rFonts w:asciiTheme="minorHAnsi" w:eastAsiaTheme="minorEastAsia" w:hAnsiTheme="minorHAnsi" w:cstheme="minorBidi"/>
          <w:i/>
          <w:iCs/>
          <w:szCs w:val="20"/>
        </w:rPr>
        <w:t>IT-beheer</w:t>
      </w:r>
    </w:p>
    <w:p w14:paraId="2FC96800" w14:textId="2C97BD16" w:rsidR="00392E7D" w:rsidRDefault="7B3DB2D0" w:rsidP="00B90249">
      <w:pPr>
        <w:pStyle w:val="paragraph"/>
        <w:spacing w:before="0" w:beforeAutospacing="0" w:after="0" w:afterAutospacing="0"/>
        <w:textAlignment w:val="baseline"/>
        <w:rPr>
          <w:rStyle w:val="normaltextrun"/>
          <w:rFonts w:asciiTheme="minorHAnsi" w:eastAsiaTheme="minorEastAsia" w:hAnsiTheme="minorHAnsi" w:cstheme="minorBidi"/>
          <w:szCs w:val="20"/>
        </w:rPr>
      </w:pPr>
      <w:r w:rsidRPr="7B3DB2D0">
        <w:rPr>
          <w:rStyle w:val="normaltextrun"/>
          <w:rFonts w:asciiTheme="minorHAnsi" w:eastAsiaTheme="minorEastAsia" w:hAnsiTheme="minorHAnsi" w:cstheme="minorBidi"/>
          <w:szCs w:val="20"/>
        </w:rPr>
        <w:t>In 2024 zal BghU beschikken over een nieuwe infrastructuur met bijbehorende onderdelen zoals werkplek-, applicatie-, technische beheer, hosting, datacenter, connectiviteit, servers, storage, backup en restore voorzieningen en helpdesk. Het onderzoek en de aanbesteding is in september 2022 opgestart en zal naar verwachting eind 2023 worden afgerond. Hiermee beschikt BghU na 7 jaar hosting bij Centric over een omgeving die volledig nieuw is opgebouwd, vernieuwd is, voor medewerkers goed bereikbaar en veilig is voor de buitenwereld.</w:t>
      </w:r>
    </w:p>
    <w:p w14:paraId="2BBE7978" w14:textId="77777777" w:rsidR="007E22DB" w:rsidRDefault="007E22DB" w:rsidP="7B3DB2D0">
      <w:pPr>
        <w:pStyle w:val="paragraph"/>
        <w:spacing w:before="0" w:beforeAutospacing="0" w:after="0" w:afterAutospacing="0"/>
        <w:jc w:val="both"/>
        <w:textAlignment w:val="baseline"/>
        <w:rPr>
          <w:rStyle w:val="normaltextrun"/>
          <w:rFonts w:asciiTheme="minorHAnsi" w:eastAsiaTheme="minorEastAsia" w:hAnsiTheme="minorHAnsi" w:cstheme="minorBidi"/>
          <w:szCs w:val="20"/>
        </w:rPr>
      </w:pPr>
    </w:p>
    <w:p w14:paraId="44F0F71A" w14:textId="1D61B26B" w:rsidR="007E22DB" w:rsidRPr="007E22DB" w:rsidRDefault="7B3DB2D0" w:rsidP="00B90249">
      <w:pPr>
        <w:pStyle w:val="paragraph"/>
        <w:spacing w:before="0" w:beforeAutospacing="0" w:after="0" w:afterAutospacing="0"/>
        <w:textAlignment w:val="baseline"/>
        <w:rPr>
          <w:rStyle w:val="normaltextrun"/>
          <w:rFonts w:asciiTheme="minorHAnsi" w:eastAsiaTheme="minorEastAsia" w:hAnsiTheme="minorHAnsi" w:cstheme="minorBidi"/>
          <w:i/>
          <w:iCs/>
          <w:szCs w:val="20"/>
        </w:rPr>
      </w:pPr>
      <w:r w:rsidRPr="7B3DB2D0">
        <w:rPr>
          <w:rStyle w:val="normaltextrun"/>
          <w:rFonts w:asciiTheme="minorHAnsi" w:eastAsiaTheme="minorEastAsia" w:hAnsiTheme="minorHAnsi" w:cstheme="minorBidi"/>
          <w:i/>
          <w:iCs/>
          <w:szCs w:val="20"/>
        </w:rPr>
        <w:t>Toekomstige aanbestedingen</w:t>
      </w:r>
    </w:p>
    <w:p w14:paraId="7E2C6698" w14:textId="3B1CA1B9" w:rsidR="005E4969" w:rsidRDefault="7B3DB2D0" w:rsidP="00B90249">
      <w:pPr>
        <w:pStyle w:val="paragraph"/>
        <w:spacing w:before="0" w:beforeAutospacing="0" w:after="0" w:afterAutospacing="0"/>
        <w:textAlignment w:val="baseline"/>
        <w:rPr>
          <w:rStyle w:val="normaltextrun"/>
          <w:rFonts w:asciiTheme="minorHAnsi" w:eastAsiaTheme="minorEastAsia" w:hAnsiTheme="minorHAnsi" w:cstheme="minorBidi"/>
          <w:szCs w:val="20"/>
        </w:rPr>
      </w:pPr>
      <w:r w:rsidRPr="7B3DB2D0">
        <w:rPr>
          <w:rStyle w:val="normaltextrun"/>
          <w:rFonts w:asciiTheme="minorHAnsi" w:eastAsiaTheme="minorEastAsia" w:hAnsiTheme="minorHAnsi" w:cstheme="minorBidi"/>
          <w:szCs w:val="20"/>
        </w:rPr>
        <w:t>In de strategie notie die op 26 maart 2021 door het bestuur is vastgesteld, heeft BghU een aantal uitgangspunten vastgelegd voor de aanbesteding van zijn kernapplicaties. Hierin staat onder meer dat:</w:t>
      </w:r>
    </w:p>
    <w:p w14:paraId="4604A374" w14:textId="12D72A51" w:rsidR="00171C04" w:rsidRPr="00AF356B" w:rsidRDefault="7B3DB2D0" w:rsidP="00B90249">
      <w:pPr>
        <w:pStyle w:val="paragraph"/>
        <w:numPr>
          <w:ilvl w:val="0"/>
          <w:numId w:val="11"/>
        </w:numPr>
        <w:spacing w:before="0" w:beforeAutospacing="0" w:after="0" w:afterAutospacing="0"/>
        <w:textAlignment w:val="baseline"/>
        <w:rPr>
          <w:rStyle w:val="normaltextrun"/>
          <w:rFonts w:asciiTheme="minorHAnsi" w:eastAsiaTheme="minorEastAsia" w:hAnsiTheme="minorHAnsi" w:cstheme="minorBidi"/>
          <w:szCs w:val="20"/>
        </w:rPr>
      </w:pPr>
      <w:r w:rsidRPr="7B3DB2D0">
        <w:rPr>
          <w:rStyle w:val="normaltextrun"/>
          <w:rFonts w:asciiTheme="minorHAnsi" w:eastAsiaTheme="minorEastAsia" w:hAnsiTheme="minorHAnsi" w:cstheme="minorBidi"/>
          <w:szCs w:val="20"/>
        </w:rPr>
        <w:t>De kernapplicaties (belastingen, waardering en BAG) werken op basis van Saas (tenzij…);</w:t>
      </w:r>
    </w:p>
    <w:p w14:paraId="0B662C57" w14:textId="4F5D5061" w:rsidR="00AF356B" w:rsidRPr="00AF356B" w:rsidRDefault="7B3DB2D0" w:rsidP="00B90249">
      <w:pPr>
        <w:pStyle w:val="paragraph"/>
        <w:numPr>
          <w:ilvl w:val="0"/>
          <w:numId w:val="11"/>
        </w:numPr>
        <w:spacing w:before="0" w:beforeAutospacing="0" w:after="0" w:afterAutospacing="0"/>
        <w:textAlignment w:val="baseline"/>
        <w:rPr>
          <w:rStyle w:val="normaltextrun"/>
          <w:rFonts w:asciiTheme="minorHAnsi" w:eastAsiaTheme="minorEastAsia" w:hAnsiTheme="minorHAnsi" w:cstheme="minorBidi"/>
          <w:szCs w:val="20"/>
        </w:rPr>
      </w:pPr>
      <w:r w:rsidRPr="7B3DB2D0">
        <w:rPr>
          <w:rStyle w:val="normaltextrun"/>
          <w:rFonts w:asciiTheme="minorHAnsi" w:eastAsiaTheme="minorEastAsia" w:hAnsiTheme="minorHAnsi" w:cstheme="minorBidi"/>
          <w:szCs w:val="20"/>
        </w:rPr>
        <w:t>De applicaties worden gekoppeld doormiddel van ESB;</w:t>
      </w:r>
    </w:p>
    <w:p w14:paraId="68EEB919" w14:textId="639616B6" w:rsidR="00AF356B" w:rsidRPr="006770CC" w:rsidRDefault="7B3DB2D0" w:rsidP="00B90249">
      <w:pPr>
        <w:pStyle w:val="paragraph"/>
        <w:numPr>
          <w:ilvl w:val="0"/>
          <w:numId w:val="11"/>
        </w:numPr>
        <w:spacing w:before="0" w:beforeAutospacing="0" w:after="0" w:afterAutospacing="0"/>
        <w:textAlignment w:val="baseline"/>
        <w:rPr>
          <w:rStyle w:val="normaltextrun"/>
          <w:rFonts w:asciiTheme="minorHAnsi" w:eastAsiaTheme="minorEastAsia" w:hAnsiTheme="minorHAnsi" w:cstheme="minorBidi"/>
          <w:szCs w:val="20"/>
        </w:rPr>
      </w:pPr>
      <w:r w:rsidRPr="7B3DB2D0">
        <w:rPr>
          <w:rStyle w:val="normaltextrun"/>
          <w:rFonts w:asciiTheme="minorHAnsi" w:eastAsiaTheme="minorEastAsia" w:hAnsiTheme="minorHAnsi" w:cstheme="minorBidi"/>
          <w:szCs w:val="20"/>
        </w:rPr>
        <w:lastRenderedPageBreak/>
        <w:t>Modulaire opgebouwd kunnen worden uit vervangbare functionele toepassingen mbv open standaarden (en/of API’s)</w:t>
      </w:r>
    </w:p>
    <w:p w14:paraId="4226CF9F" w14:textId="5C64B180" w:rsidR="006770CC" w:rsidRPr="006770CC" w:rsidRDefault="7B3DB2D0" w:rsidP="00B90249">
      <w:pPr>
        <w:pStyle w:val="paragraph"/>
        <w:numPr>
          <w:ilvl w:val="0"/>
          <w:numId w:val="11"/>
        </w:numPr>
        <w:spacing w:before="0" w:beforeAutospacing="0" w:after="0" w:afterAutospacing="0"/>
        <w:textAlignment w:val="baseline"/>
        <w:rPr>
          <w:rStyle w:val="normaltextrun"/>
          <w:rFonts w:asciiTheme="minorHAnsi" w:eastAsiaTheme="minorEastAsia" w:hAnsiTheme="minorHAnsi" w:cstheme="minorBidi"/>
          <w:szCs w:val="20"/>
        </w:rPr>
      </w:pPr>
      <w:r w:rsidRPr="7B3DB2D0">
        <w:rPr>
          <w:rStyle w:val="normaltextrun"/>
          <w:rFonts w:asciiTheme="minorHAnsi" w:eastAsiaTheme="minorEastAsia" w:hAnsiTheme="minorHAnsi" w:cstheme="minorBidi"/>
          <w:szCs w:val="20"/>
        </w:rPr>
        <w:t>Laagste mogelijk risico bedrijfsvoering met zich meebrengen;</w:t>
      </w:r>
    </w:p>
    <w:p w14:paraId="4061C5BA" w14:textId="3E344D87" w:rsidR="006770CC" w:rsidRPr="006770CC" w:rsidRDefault="7B3DB2D0" w:rsidP="00B90249">
      <w:pPr>
        <w:pStyle w:val="paragraph"/>
        <w:numPr>
          <w:ilvl w:val="0"/>
          <w:numId w:val="11"/>
        </w:numPr>
        <w:spacing w:before="0" w:beforeAutospacing="0" w:after="0" w:afterAutospacing="0"/>
        <w:textAlignment w:val="baseline"/>
        <w:rPr>
          <w:rStyle w:val="normaltextrun"/>
          <w:rFonts w:asciiTheme="minorHAnsi" w:eastAsiaTheme="minorEastAsia" w:hAnsiTheme="minorHAnsi" w:cstheme="minorBidi"/>
          <w:szCs w:val="20"/>
        </w:rPr>
      </w:pPr>
      <w:r w:rsidRPr="7B3DB2D0">
        <w:rPr>
          <w:rStyle w:val="normaltextrun"/>
          <w:rFonts w:asciiTheme="minorHAnsi" w:eastAsiaTheme="minorEastAsia" w:hAnsiTheme="minorHAnsi" w:cstheme="minorBidi"/>
          <w:szCs w:val="20"/>
        </w:rPr>
        <w:t>Optimale prijs/kwaliteitsverhouding kennen;</w:t>
      </w:r>
    </w:p>
    <w:p w14:paraId="5B21FA05" w14:textId="671AC97A" w:rsidR="006770CC" w:rsidRPr="006770CC" w:rsidRDefault="7B3DB2D0" w:rsidP="00B90249">
      <w:pPr>
        <w:pStyle w:val="paragraph"/>
        <w:numPr>
          <w:ilvl w:val="0"/>
          <w:numId w:val="11"/>
        </w:numPr>
        <w:spacing w:before="0" w:beforeAutospacing="0" w:after="0" w:afterAutospacing="0"/>
        <w:textAlignment w:val="baseline"/>
        <w:rPr>
          <w:rStyle w:val="normaltextrun"/>
          <w:rFonts w:asciiTheme="minorHAnsi" w:eastAsiaTheme="minorEastAsia" w:hAnsiTheme="minorHAnsi" w:cstheme="minorBidi"/>
          <w:szCs w:val="20"/>
        </w:rPr>
      </w:pPr>
      <w:r w:rsidRPr="7B3DB2D0">
        <w:rPr>
          <w:rStyle w:val="normaltextrun"/>
          <w:rFonts w:asciiTheme="minorHAnsi" w:eastAsiaTheme="minorEastAsia" w:hAnsiTheme="minorHAnsi" w:cstheme="minorBidi"/>
          <w:szCs w:val="20"/>
        </w:rPr>
        <w:t>Principes en ontwikkelingen volgen van de Common Ground gedachte;</w:t>
      </w:r>
    </w:p>
    <w:p w14:paraId="2A734F96" w14:textId="27E19FC7" w:rsidR="006770CC" w:rsidRPr="00755C23" w:rsidRDefault="7B3DB2D0" w:rsidP="00B90249">
      <w:pPr>
        <w:pStyle w:val="paragraph"/>
        <w:numPr>
          <w:ilvl w:val="0"/>
          <w:numId w:val="11"/>
        </w:numPr>
        <w:spacing w:before="0" w:beforeAutospacing="0" w:after="0" w:afterAutospacing="0"/>
        <w:textAlignment w:val="baseline"/>
        <w:rPr>
          <w:rStyle w:val="normaltextrun"/>
          <w:rFonts w:asciiTheme="minorHAnsi" w:eastAsiaTheme="minorEastAsia" w:hAnsiTheme="minorHAnsi" w:cstheme="minorBidi"/>
          <w:szCs w:val="20"/>
        </w:rPr>
      </w:pPr>
      <w:r w:rsidRPr="7B3DB2D0">
        <w:rPr>
          <w:rStyle w:val="normaltextrun"/>
          <w:rFonts w:asciiTheme="minorHAnsi" w:eastAsiaTheme="minorEastAsia" w:hAnsiTheme="minorHAnsi" w:cstheme="minorBidi"/>
          <w:szCs w:val="20"/>
        </w:rPr>
        <w:t>Er een scheiding is tussen data en procesessen; eenmalige registratie, meervoudig gebruik;</w:t>
      </w:r>
    </w:p>
    <w:p w14:paraId="5CDF224B" w14:textId="3E06E89A" w:rsidR="00755C23" w:rsidRPr="00621B0B" w:rsidRDefault="7B3DB2D0" w:rsidP="00B90249">
      <w:pPr>
        <w:pStyle w:val="paragraph"/>
        <w:numPr>
          <w:ilvl w:val="0"/>
          <w:numId w:val="11"/>
        </w:numPr>
        <w:spacing w:before="0" w:beforeAutospacing="0" w:after="0" w:afterAutospacing="0"/>
        <w:textAlignment w:val="baseline"/>
        <w:rPr>
          <w:rStyle w:val="normaltextrun"/>
          <w:rFonts w:asciiTheme="minorHAnsi" w:eastAsiaTheme="minorEastAsia" w:hAnsiTheme="minorHAnsi" w:cstheme="minorBidi"/>
          <w:szCs w:val="20"/>
        </w:rPr>
      </w:pPr>
      <w:r w:rsidRPr="7B3DB2D0">
        <w:rPr>
          <w:rStyle w:val="normaltextrun"/>
          <w:rFonts w:asciiTheme="minorHAnsi" w:eastAsiaTheme="minorEastAsia" w:hAnsiTheme="minorHAnsi" w:cstheme="minorBidi"/>
          <w:szCs w:val="20"/>
        </w:rPr>
        <w:t>Op termijn een geïntegreerd objectenbeheer (SOR) kent waardoor BghU klaar is voor de landelijke ontwikkelingen.</w:t>
      </w:r>
    </w:p>
    <w:p w14:paraId="57C8E619" w14:textId="77777777" w:rsidR="00621B0B" w:rsidRDefault="00621B0B" w:rsidP="00B90249">
      <w:pPr>
        <w:pStyle w:val="paragraph"/>
        <w:spacing w:before="0" w:beforeAutospacing="0" w:after="0" w:afterAutospacing="0"/>
        <w:textAlignment w:val="baseline"/>
        <w:rPr>
          <w:rStyle w:val="normaltextrun"/>
          <w:rFonts w:asciiTheme="minorHAnsi" w:eastAsiaTheme="minorEastAsia" w:hAnsiTheme="minorHAnsi" w:cstheme="minorBidi"/>
          <w:szCs w:val="20"/>
        </w:rPr>
      </w:pPr>
    </w:p>
    <w:p w14:paraId="42D2D50F" w14:textId="1DEAD1C2" w:rsidR="00621B0B" w:rsidRDefault="7B3DB2D0" w:rsidP="00B90249">
      <w:pPr>
        <w:pStyle w:val="paragraph"/>
        <w:spacing w:before="0" w:beforeAutospacing="0" w:after="0" w:afterAutospacing="0"/>
        <w:textAlignment w:val="baseline"/>
        <w:rPr>
          <w:rStyle w:val="normaltextrun"/>
          <w:rFonts w:asciiTheme="minorHAnsi" w:eastAsiaTheme="minorEastAsia" w:hAnsiTheme="minorHAnsi" w:cstheme="minorBidi"/>
          <w:szCs w:val="20"/>
        </w:rPr>
      </w:pPr>
      <w:r w:rsidRPr="7B3DB2D0">
        <w:rPr>
          <w:rStyle w:val="normaltextrun"/>
          <w:rFonts w:asciiTheme="minorHAnsi" w:eastAsiaTheme="minorEastAsia" w:hAnsiTheme="minorHAnsi" w:cstheme="minorBidi"/>
          <w:szCs w:val="20"/>
        </w:rPr>
        <w:t>Tijdens het proces van de aanbesteding bleek de praktijk nog niet klaar te zijn voor een aantal van deze uitgangspunten. Zo bleek bijvoorbeeld het modulair aanbesteden van een belastingapplicatie nog teveel risico in de bedrijfsvoering met zich mee te brengen. Reden om ervoor te kiezen om de contracten voor een kortere termijn dan gebruikelijk op te stellen om in de nabije toekomst alsnog te kunnen voldoen aan deze uitgangspunten. Met alle leveranciers van de kernapplicaties is een termijn van 3 jaar vastgelegd met de mogelijkheid om na deze drie jaar nog 7x1 jaar te kunnen verlengen.</w:t>
      </w:r>
    </w:p>
    <w:p w14:paraId="56E5C2FC" w14:textId="77777777" w:rsidR="004C694B" w:rsidRDefault="004C694B" w:rsidP="00B90249">
      <w:pPr>
        <w:pStyle w:val="paragraph"/>
        <w:spacing w:before="0" w:beforeAutospacing="0" w:after="0" w:afterAutospacing="0"/>
        <w:textAlignment w:val="baseline"/>
        <w:rPr>
          <w:rStyle w:val="normaltextrun"/>
          <w:rFonts w:asciiTheme="minorHAnsi" w:eastAsiaTheme="minorEastAsia" w:hAnsiTheme="minorHAnsi" w:cstheme="minorBidi"/>
          <w:szCs w:val="20"/>
        </w:rPr>
      </w:pPr>
    </w:p>
    <w:p w14:paraId="7AE8DABA" w14:textId="765EBAEF" w:rsidR="00DE4EDF" w:rsidRPr="00AF356B" w:rsidRDefault="7B3DB2D0" w:rsidP="00B90249">
      <w:pPr>
        <w:pStyle w:val="paragraph"/>
        <w:spacing w:before="0" w:beforeAutospacing="0" w:after="0" w:afterAutospacing="0"/>
        <w:textAlignment w:val="baseline"/>
        <w:rPr>
          <w:rStyle w:val="normaltextrun"/>
          <w:rFonts w:asciiTheme="minorHAnsi" w:eastAsiaTheme="minorEastAsia" w:hAnsiTheme="minorHAnsi" w:cstheme="minorBidi"/>
          <w:szCs w:val="20"/>
        </w:rPr>
      </w:pPr>
      <w:r w:rsidRPr="7B3DB2D0">
        <w:rPr>
          <w:rStyle w:val="normaltextrun"/>
          <w:rFonts w:asciiTheme="minorHAnsi" w:eastAsiaTheme="minorEastAsia" w:hAnsiTheme="minorHAnsi" w:cstheme="minorBidi"/>
          <w:szCs w:val="20"/>
        </w:rPr>
        <w:t>Dat betekent dat in 2025 de ICT-inkoop- en aanbestedingsstrategie nota opnieuw herijkt zal moeten worden, eventueel aangepast aan de dan actuele situaties en onderzocht kan worden of deze zodanig toegepast moeten worden dat er in 2026 nieuwe aanbestedingen kunnen of moeten plaats te vinden van één of meer kernapplicaties of onderdelen daarvan.</w:t>
      </w:r>
    </w:p>
    <w:p w14:paraId="430F7480" w14:textId="7F4F5A0D" w:rsidR="00D962DB" w:rsidRPr="004E7339" w:rsidRDefault="00D962DB" w:rsidP="00B90249">
      <w:pPr>
        <w:textAlignment w:val="baseline"/>
        <w:rPr>
          <w:rFonts w:asciiTheme="minorHAnsi" w:eastAsiaTheme="minorEastAsia" w:hAnsiTheme="minorHAnsi" w:cstheme="minorBidi"/>
          <w:i/>
          <w:iCs/>
          <w:szCs w:val="20"/>
        </w:rPr>
      </w:pPr>
    </w:p>
    <w:p w14:paraId="0CD642E5" w14:textId="15644E49" w:rsidR="00D962DB" w:rsidRPr="004E7339" w:rsidRDefault="7B3DB2D0" w:rsidP="00B90249">
      <w:pPr>
        <w:textAlignment w:val="baseline"/>
        <w:rPr>
          <w:rFonts w:asciiTheme="minorHAnsi" w:eastAsiaTheme="minorEastAsia" w:hAnsiTheme="minorHAnsi" w:cstheme="minorBidi"/>
          <w:i/>
          <w:iCs/>
          <w:szCs w:val="20"/>
          <w:highlight w:val="yellow"/>
        </w:rPr>
      </w:pPr>
      <w:r w:rsidRPr="7B3DB2D0">
        <w:rPr>
          <w:rFonts w:asciiTheme="minorHAnsi" w:eastAsiaTheme="minorEastAsia" w:hAnsiTheme="minorHAnsi" w:cstheme="minorBidi"/>
          <w:i/>
          <w:iCs/>
          <w:szCs w:val="20"/>
        </w:rPr>
        <w:t>Waarderingskamer</w:t>
      </w:r>
    </w:p>
    <w:p w14:paraId="69858223" w14:textId="1E7C4ECF" w:rsidR="00D962DB" w:rsidRPr="004E7339" w:rsidRDefault="767270E9" w:rsidP="767270E9">
      <w:pPr>
        <w:pStyle w:val="paragraph"/>
        <w:spacing w:before="0" w:beforeAutospacing="0" w:after="0" w:afterAutospacing="0"/>
        <w:textAlignment w:val="baseline"/>
        <w:rPr>
          <w:rStyle w:val="normaltextrun"/>
          <w:rFonts w:asciiTheme="minorHAnsi" w:eastAsiaTheme="minorEastAsia" w:hAnsiTheme="minorHAnsi" w:cstheme="minorBidi"/>
          <w:lang w:eastAsia="en-US"/>
        </w:rPr>
      </w:pPr>
      <w:r w:rsidRPr="3B077BEA">
        <w:rPr>
          <w:rStyle w:val="normaltextrun"/>
          <w:rFonts w:asciiTheme="minorHAnsi" w:eastAsiaTheme="minorEastAsia" w:hAnsiTheme="minorHAnsi" w:cstheme="minorBidi"/>
          <w:lang w:eastAsia="en-US"/>
        </w:rPr>
        <w:t>De Waarderingskamer heeft in 2022 het ontwikkelplan goedgekeurd, hierdoor was duidelijk welke acties BghU moet uitvoeren om een ‘goed’ van de Waarderingskamer te ontvangen. Daarnaast is ook de interne beheersing door middel van protocollen van de diverse WOZ-onderdelen en processen binnen BghU uitgebreid. Dit project is nog niet afgerond. Ook de komende jaren zullen in het teken staan om deze protocollen beter in het proces in te bedden en te controleren. Hier horen onder anderen betere dashboards bij die continu bijgewerkt kunnen worden. Maar ook de komende jaren de administratieve organisatie beter beschreven moeten worden en kritische momenten in de processen verder doorontwikkeld en vastgelegd moeten worden. Ook het continu verbeteren van processen maar ook van data zal hier een belangrijk onderdeel van worden.    </w:t>
      </w:r>
    </w:p>
    <w:p w14:paraId="28ABA943" w14:textId="77777777" w:rsidR="00D962DB" w:rsidRPr="004E7339" w:rsidRDefault="00D962DB" w:rsidP="00B90249">
      <w:pPr>
        <w:pStyle w:val="paragraph"/>
        <w:spacing w:before="0" w:beforeAutospacing="0" w:after="0" w:afterAutospacing="0"/>
        <w:textAlignment w:val="baseline"/>
        <w:rPr>
          <w:rStyle w:val="normaltextrun"/>
          <w:rFonts w:asciiTheme="minorHAnsi" w:eastAsiaTheme="minorEastAsia" w:hAnsiTheme="minorHAnsi" w:cstheme="minorBidi"/>
          <w:szCs w:val="20"/>
          <w:lang w:eastAsia="en-US"/>
        </w:rPr>
      </w:pPr>
    </w:p>
    <w:p w14:paraId="71571307" w14:textId="46BF0096" w:rsidR="00D962DB" w:rsidRPr="004E7339" w:rsidRDefault="7B3DB2D0" w:rsidP="00B90249">
      <w:pPr>
        <w:pStyle w:val="paragraph"/>
        <w:spacing w:before="0" w:beforeAutospacing="0" w:after="0" w:afterAutospacing="0"/>
        <w:textAlignment w:val="baseline"/>
        <w:rPr>
          <w:rStyle w:val="normaltextrun"/>
          <w:rFonts w:asciiTheme="minorHAnsi" w:eastAsiaTheme="minorEastAsia" w:hAnsiTheme="minorHAnsi" w:cstheme="minorBidi"/>
          <w:szCs w:val="20"/>
          <w:lang w:eastAsia="en-US"/>
        </w:rPr>
      </w:pPr>
      <w:r w:rsidRPr="7B3DB2D0">
        <w:rPr>
          <w:rStyle w:val="normaltextrun"/>
          <w:rFonts w:asciiTheme="minorHAnsi" w:eastAsiaTheme="minorEastAsia" w:hAnsiTheme="minorHAnsi" w:cstheme="minorBidi"/>
          <w:szCs w:val="20"/>
          <w:lang w:eastAsia="en-US"/>
        </w:rPr>
        <w:t xml:space="preserve">Het oordeel ‘goed’ van de Waarderingskamer wordt als een mijlpaal gezien. Het belangrijkste doel blijft echter een organisatie waarbij continu de ‘basis op orde’ is en er geen tot minimale achterstanden zijn in de werkzaamheden. Dit zorgt ervoor dat structureel correcte beschikkingen en aanslagen verstuurd worden met als uitgangspunt: ‘de aanslagen in één keer goed’. De verwachting is dat naast het eindoordeel ‘goed’ ook het aantal (heffings)bezwaren klantcontacten zal dalen. Op termijn kan dit leiden tot efficiencyvoordelen. </w:t>
      </w:r>
    </w:p>
    <w:p w14:paraId="6446D32E" w14:textId="77777777" w:rsidR="00D962DB" w:rsidRPr="004E7339" w:rsidRDefault="00D962DB" w:rsidP="00B90249">
      <w:pPr>
        <w:pStyle w:val="paragraph"/>
        <w:spacing w:before="0" w:beforeAutospacing="0" w:after="0" w:afterAutospacing="0"/>
        <w:textAlignment w:val="baseline"/>
        <w:rPr>
          <w:rFonts w:asciiTheme="minorHAnsi" w:eastAsiaTheme="minorEastAsia" w:hAnsiTheme="minorHAnsi" w:cstheme="minorBidi"/>
          <w:szCs w:val="20"/>
        </w:rPr>
      </w:pPr>
    </w:p>
    <w:p w14:paraId="6B09A9C7" w14:textId="356C611E" w:rsidR="00D962DB" w:rsidRPr="004E7339" w:rsidRDefault="7B3DB2D0" w:rsidP="00B90249">
      <w:pPr>
        <w:pStyle w:val="paragraph"/>
        <w:spacing w:before="0" w:beforeAutospacing="0" w:after="0" w:afterAutospacing="0"/>
        <w:textAlignment w:val="baseline"/>
        <w:rPr>
          <w:rStyle w:val="normaltextrun"/>
          <w:rFonts w:asciiTheme="minorHAnsi" w:eastAsiaTheme="minorEastAsia" w:hAnsiTheme="minorHAnsi" w:cstheme="minorBidi"/>
          <w:szCs w:val="20"/>
          <w:lang w:eastAsia="en-US"/>
        </w:rPr>
      </w:pPr>
      <w:r w:rsidRPr="7B3DB2D0">
        <w:rPr>
          <w:rStyle w:val="normaltextrun"/>
          <w:rFonts w:asciiTheme="minorHAnsi" w:eastAsiaTheme="minorEastAsia" w:hAnsiTheme="minorHAnsi" w:cstheme="minorBidi"/>
          <w:szCs w:val="20"/>
          <w:lang w:eastAsia="en-US"/>
        </w:rPr>
        <w:t xml:space="preserve">Om dit te realiseren worden de komende jaren de volgende acties ingezet: </w:t>
      </w:r>
    </w:p>
    <w:p w14:paraId="0D6B4204" w14:textId="77777777" w:rsidR="00D962DB" w:rsidRPr="004E7339" w:rsidRDefault="00D962DB" w:rsidP="00B90249">
      <w:pPr>
        <w:pStyle w:val="paragraph"/>
        <w:spacing w:before="0" w:beforeAutospacing="0" w:after="0" w:afterAutospacing="0"/>
        <w:textAlignment w:val="baseline"/>
        <w:rPr>
          <w:rStyle w:val="normaltextrun"/>
          <w:rFonts w:asciiTheme="minorHAnsi" w:eastAsiaTheme="minorEastAsia" w:hAnsiTheme="minorHAnsi" w:cstheme="minorBidi"/>
          <w:szCs w:val="20"/>
          <w:lang w:eastAsia="en-US"/>
        </w:rPr>
      </w:pPr>
    </w:p>
    <w:p w14:paraId="5B679A6B" w14:textId="6ECD2F54" w:rsidR="00D962DB" w:rsidRPr="004E7339" w:rsidRDefault="7B3DB2D0" w:rsidP="00B90249">
      <w:pPr>
        <w:pStyle w:val="paragraph"/>
        <w:numPr>
          <w:ilvl w:val="0"/>
          <w:numId w:val="12"/>
        </w:numPr>
        <w:spacing w:before="0" w:beforeAutospacing="0" w:after="0" w:afterAutospacing="0"/>
        <w:textAlignment w:val="baseline"/>
        <w:rPr>
          <w:rStyle w:val="normaltextrun"/>
          <w:rFonts w:asciiTheme="minorHAnsi" w:eastAsiaTheme="minorEastAsia" w:hAnsiTheme="minorHAnsi" w:cstheme="minorBidi"/>
          <w:szCs w:val="20"/>
          <w:lang w:eastAsia="en-US"/>
        </w:rPr>
      </w:pPr>
      <w:r w:rsidRPr="7B3DB2D0">
        <w:rPr>
          <w:rStyle w:val="normaltextrun"/>
          <w:rFonts w:asciiTheme="minorHAnsi" w:eastAsiaTheme="minorEastAsia" w:hAnsiTheme="minorHAnsi" w:cstheme="minorBidi"/>
          <w:szCs w:val="20"/>
          <w:lang w:eastAsia="en-US"/>
        </w:rPr>
        <w:t>De interne beheersing protocollen van de Waarderingskamer worden verder ingebed en geborgd in de diverse WOZ-processen;  </w:t>
      </w:r>
    </w:p>
    <w:p w14:paraId="57F058DE" w14:textId="75C6A181" w:rsidR="00D962DB" w:rsidRPr="004E7339" w:rsidRDefault="7B3DB2D0" w:rsidP="3B077BEA">
      <w:pPr>
        <w:pStyle w:val="paragraph"/>
        <w:numPr>
          <w:ilvl w:val="0"/>
          <w:numId w:val="12"/>
        </w:numPr>
        <w:spacing w:before="0" w:beforeAutospacing="0" w:after="0" w:afterAutospacing="0"/>
        <w:textAlignment w:val="baseline"/>
        <w:rPr>
          <w:rStyle w:val="normaltextrun"/>
          <w:rFonts w:asciiTheme="minorHAnsi" w:eastAsiaTheme="minorEastAsia" w:hAnsiTheme="minorHAnsi" w:cstheme="minorBidi"/>
          <w:lang w:eastAsia="en-US"/>
        </w:rPr>
      </w:pPr>
      <w:r w:rsidRPr="3B077BEA">
        <w:rPr>
          <w:rStyle w:val="normaltextrun"/>
          <w:rFonts w:asciiTheme="minorHAnsi" w:eastAsiaTheme="minorEastAsia" w:hAnsiTheme="minorHAnsi" w:cstheme="minorBidi"/>
          <w:lang w:eastAsia="en-US"/>
        </w:rPr>
        <w:t xml:space="preserve">Het tijdig en volledig versturen van inlichtingformulieren naar diverse categorieën objecten voor afstemming over zowel de primaire als de secundaire kenmerken. Hierdoor blijven de gegevens </w:t>
      </w:r>
      <w:r w:rsidR="14CEE33B" w:rsidRPr="3B077BEA">
        <w:rPr>
          <w:rStyle w:val="normaltextrun"/>
          <w:rFonts w:asciiTheme="minorHAnsi" w:eastAsiaTheme="minorEastAsia" w:hAnsiTheme="minorHAnsi" w:cstheme="minorBidi"/>
          <w:lang w:eastAsia="en-US"/>
        </w:rPr>
        <w:t>overeenkomen</w:t>
      </w:r>
      <w:r w:rsidRPr="3B077BEA">
        <w:rPr>
          <w:rStyle w:val="normaltextrun"/>
          <w:rFonts w:asciiTheme="minorHAnsi" w:eastAsiaTheme="minorEastAsia" w:hAnsiTheme="minorHAnsi" w:cstheme="minorBidi"/>
          <w:lang w:eastAsia="en-US"/>
        </w:rPr>
        <w:t xml:space="preserve"> met de werkelijke situaties op straat;</w:t>
      </w:r>
    </w:p>
    <w:p w14:paraId="7A49D838" w14:textId="77777777" w:rsidR="00D962DB" w:rsidRPr="004E7339" w:rsidRDefault="7B3DB2D0" w:rsidP="00B90249">
      <w:pPr>
        <w:pStyle w:val="paragraph"/>
        <w:numPr>
          <w:ilvl w:val="0"/>
          <w:numId w:val="12"/>
        </w:numPr>
        <w:spacing w:before="0" w:beforeAutospacing="0" w:after="0" w:afterAutospacing="0"/>
        <w:textAlignment w:val="baseline"/>
        <w:rPr>
          <w:rStyle w:val="normaltextrun"/>
          <w:rFonts w:asciiTheme="minorHAnsi" w:eastAsiaTheme="minorEastAsia" w:hAnsiTheme="minorHAnsi" w:cstheme="minorBidi"/>
          <w:szCs w:val="20"/>
          <w:lang w:eastAsia="en-US"/>
        </w:rPr>
      </w:pPr>
      <w:r w:rsidRPr="7B3DB2D0">
        <w:rPr>
          <w:rStyle w:val="normaltextrun"/>
          <w:rFonts w:asciiTheme="minorHAnsi" w:eastAsiaTheme="minorEastAsia" w:hAnsiTheme="minorHAnsi" w:cstheme="minorBidi"/>
          <w:szCs w:val="20"/>
          <w:lang w:eastAsia="en-US"/>
        </w:rPr>
        <w:t>Uitbreiding van de communicatie met inwoners (voormeldingen en vernieuwd taxatieverslag);</w:t>
      </w:r>
    </w:p>
    <w:p w14:paraId="222991AF" w14:textId="7DBDFBA4" w:rsidR="00D962DB" w:rsidRPr="004E7339" w:rsidRDefault="7B3DB2D0" w:rsidP="00B90249">
      <w:pPr>
        <w:pStyle w:val="paragraph"/>
        <w:numPr>
          <w:ilvl w:val="0"/>
          <w:numId w:val="12"/>
        </w:numPr>
        <w:spacing w:before="0" w:beforeAutospacing="0" w:after="0" w:afterAutospacing="0"/>
        <w:textAlignment w:val="baseline"/>
        <w:rPr>
          <w:rStyle w:val="normaltextrun"/>
          <w:rFonts w:asciiTheme="minorHAnsi" w:eastAsiaTheme="minorEastAsia" w:hAnsiTheme="minorHAnsi" w:cstheme="minorBidi"/>
          <w:szCs w:val="20"/>
          <w:lang w:eastAsia="en-US"/>
        </w:rPr>
      </w:pPr>
      <w:r w:rsidRPr="7B3DB2D0">
        <w:rPr>
          <w:rStyle w:val="normaltextrun"/>
          <w:rFonts w:asciiTheme="minorHAnsi" w:eastAsiaTheme="minorEastAsia" w:hAnsiTheme="minorHAnsi" w:cstheme="minorBidi"/>
          <w:szCs w:val="20"/>
          <w:lang w:eastAsia="en-US"/>
        </w:rPr>
        <w:t>Veldcontroles met behulp van buitendienstmedewerkers die de kwaliteit van de WOZ-en belastinggegevens controleren, advisering bij bezwaren en overige vragen;</w:t>
      </w:r>
    </w:p>
    <w:p w14:paraId="05FC2450" w14:textId="77777777" w:rsidR="00D962DB" w:rsidRPr="004E7339" w:rsidRDefault="7B3DB2D0" w:rsidP="00B90249">
      <w:pPr>
        <w:pStyle w:val="paragraph"/>
        <w:numPr>
          <w:ilvl w:val="0"/>
          <w:numId w:val="12"/>
        </w:numPr>
        <w:spacing w:before="0" w:beforeAutospacing="0" w:after="0" w:afterAutospacing="0"/>
        <w:textAlignment w:val="baseline"/>
        <w:rPr>
          <w:rStyle w:val="normaltextrun"/>
          <w:rFonts w:asciiTheme="minorHAnsi" w:eastAsiaTheme="minorEastAsia" w:hAnsiTheme="minorHAnsi" w:cstheme="minorBidi"/>
          <w:szCs w:val="20"/>
          <w:lang w:eastAsia="en-US"/>
        </w:rPr>
      </w:pPr>
      <w:r w:rsidRPr="7B3DB2D0">
        <w:rPr>
          <w:rStyle w:val="normaltextrun"/>
          <w:rFonts w:asciiTheme="minorHAnsi" w:eastAsiaTheme="minorEastAsia" w:hAnsiTheme="minorHAnsi" w:cstheme="minorBidi"/>
          <w:szCs w:val="20"/>
          <w:lang w:eastAsia="en-US"/>
        </w:rPr>
        <w:t>Mutatiesignalering voor het hele deelnemersgebied;</w:t>
      </w:r>
    </w:p>
    <w:p w14:paraId="26158A33" w14:textId="3834CF61" w:rsidR="00D962DB" w:rsidRPr="004E7339" w:rsidRDefault="7B3DB2D0" w:rsidP="00B90249">
      <w:pPr>
        <w:pStyle w:val="paragraph"/>
        <w:numPr>
          <w:ilvl w:val="0"/>
          <w:numId w:val="12"/>
        </w:numPr>
        <w:spacing w:before="0" w:beforeAutospacing="0" w:after="0" w:afterAutospacing="0"/>
        <w:textAlignment w:val="baseline"/>
        <w:rPr>
          <w:rFonts w:asciiTheme="minorHAnsi" w:eastAsiaTheme="minorEastAsia" w:hAnsiTheme="minorHAnsi" w:cstheme="minorBidi"/>
          <w:szCs w:val="20"/>
          <w:lang w:eastAsia="en-US"/>
        </w:rPr>
      </w:pPr>
      <w:r w:rsidRPr="7B3DB2D0">
        <w:rPr>
          <w:rStyle w:val="normaltextrun"/>
          <w:rFonts w:asciiTheme="minorHAnsi" w:eastAsiaTheme="minorEastAsia" w:hAnsiTheme="minorHAnsi" w:cstheme="minorBidi"/>
          <w:szCs w:val="20"/>
          <w:lang w:eastAsia="en-US"/>
        </w:rPr>
        <w:t xml:space="preserve">Belastingplichtigen in februari en maart nog meer persoonlijk te benaderen door het project “BghU aanwezig op Locatie” te continueren en uit te breiden; </w:t>
      </w:r>
      <w:r w:rsidRPr="7B3DB2D0">
        <w:rPr>
          <w:rStyle w:val="normaltextrun"/>
          <w:rFonts w:asciiTheme="minorHAnsi" w:eastAsiaTheme="minorEastAsia" w:hAnsiTheme="minorHAnsi" w:cstheme="minorBidi"/>
          <w:szCs w:val="20"/>
        </w:rPr>
        <w:t xml:space="preserve"> </w:t>
      </w:r>
    </w:p>
    <w:p w14:paraId="6131B495" w14:textId="6534EFCA" w:rsidR="00D962DB" w:rsidRPr="004E7339" w:rsidRDefault="767270E9" w:rsidP="767270E9">
      <w:pPr>
        <w:pStyle w:val="paragraph"/>
        <w:numPr>
          <w:ilvl w:val="0"/>
          <w:numId w:val="12"/>
        </w:numPr>
        <w:spacing w:before="0" w:beforeAutospacing="0" w:after="0" w:afterAutospacing="0"/>
        <w:textAlignment w:val="baseline"/>
        <w:rPr>
          <w:rStyle w:val="eop"/>
          <w:rFonts w:asciiTheme="minorHAnsi" w:eastAsiaTheme="minorEastAsia" w:hAnsiTheme="minorHAnsi" w:cstheme="minorBidi"/>
        </w:rPr>
      </w:pPr>
      <w:r w:rsidRPr="3B077BEA">
        <w:rPr>
          <w:rStyle w:val="normaltextrun"/>
          <w:rFonts w:asciiTheme="minorHAnsi" w:eastAsiaTheme="minorEastAsia" w:hAnsiTheme="minorHAnsi" w:cstheme="minorBidi"/>
        </w:rPr>
        <w:t>Blijven intensiveren van de (kwalitatieve) samenwerking met deelnemende gemeenten (BAG/BGT) en woningbouwverenigingen. </w:t>
      </w:r>
      <w:r w:rsidRPr="3B077BEA">
        <w:rPr>
          <w:rStyle w:val="eop"/>
          <w:rFonts w:asciiTheme="minorHAnsi" w:eastAsiaTheme="minorEastAsia" w:hAnsiTheme="minorHAnsi" w:cstheme="minorBidi"/>
        </w:rPr>
        <w:t> </w:t>
      </w:r>
    </w:p>
    <w:p w14:paraId="67E86803" w14:textId="77777777" w:rsidR="00D61A9E" w:rsidRDefault="00D61A9E">
      <w:pPr>
        <w:spacing w:after="200" w:line="276" w:lineRule="auto"/>
        <w:rPr>
          <w:rFonts w:asciiTheme="minorHAnsi" w:hAnsiTheme="minorHAnsi" w:cs="Arial"/>
          <w:bCs/>
          <w:iCs/>
          <w:color w:val="E10E49"/>
          <w:sz w:val="26"/>
          <w:szCs w:val="28"/>
        </w:rPr>
      </w:pPr>
      <w:r>
        <w:br w:type="page"/>
      </w:r>
    </w:p>
    <w:p w14:paraId="4D2509EE" w14:textId="5E727466" w:rsidR="00DF74F2" w:rsidRDefault="16FBBEFD" w:rsidP="00DF74F2">
      <w:pPr>
        <w:pStyle w:val="Kop2"/>
      </w:pPr>
      <w:bookmarkStart w:id="26" w:name="_Toc121747476"/>
      <w:r>
        <w:lastRenderedPageBreak/>
        <w:t>4.2 Databeheer</w:t>
      </w:r>
      <w:bookmarkEnd w:id="26"/>
    </w:p>
    <w:p w14:paraId="2DE85840" w14:textId="33D52D04" w:rsidR="00C47A44" w:rsidRPr="00BA2AB7" w:rsidRDefault="7B3DB2D0" w:rsidP="00B90249">
      <w:pPr>
        <w:textAlignment w:val="baseline"/>
        <w:rPr>
          <w:rStyle w:val="normaltextrun"/>
          <w:rFonts w:asciiTheme="minorHAnsi" w:eastAsiaTheme="minorEastAsia" w:hAnsiTheme="minorHAnsi" w:cstheme="minorBidi"/>
          <w:szCs w:val="20"/>
        </w:rPr>
      </w:pPr>
      <w:r w:rsidRPr="7B3DB2D0">
        <w:rPr>
          <w:rStyle w:val="normaltextrun"/>
          <w:rFonts w:asciiTheme="minorHAnsi" w:eastAsiaTheme="minorEastAsia" w:hAnsiTheme="minorHAnsi" w:cstheme="minorBidi"/>
          <w:szCs w:val="20"/>
        </w:rPr>
        <w:t>Onderstaande ontwikkelingen worden gezien voor de komende planperiode:</w:t>
      </w:r>
    </w:p>
    <w:p w14:paraId="766C9D64" w14:textId="21D2D8FF" w:rsidR="00C47A44" w:rsidRPr="004E7339" w:rsidRDefault="00C47A44" w:rsidP="00B90249">
      <w:pPr>
        <w:textAlignment w:val="baseline"/>
        <w:rPr>
          <w:rStyle w:val="normaltextrun"/>
          <w:rFonts w:asciiTheme="minorHAnsi" w:eastAsiaTheme="minorEastAsia" w:hAnsiTheme="minorHAnsi" w:cstheme="minorBidi"/>
          <w:szCs w:val="20"/>
        </w:rPr>
      </w:pPr>
    </w:p>
    <w:p w14:paraId="76EC0A5C" w14:textId="4EC375A5" w:rsidR="00C47A44" w:rsidRPr="004E7339" w:rsidRDefault="7B3DB2D0" w:rsidP="00B90249">
      <w:pPr>
        <w:rPr>
          <w:rFonts w:asciiTheme="minorHAnsi" w:eastAsiaTheme="minorEastAsia" w:hAnsiTheme="minorHAnsi" w:cstheme="minorBidi"/>
          <w:i/>
          <w:iCs/>
          <w:szCs w:val="20"/>
        </w:rPr>
      </w:pPr>
      <w:r w:rsidRPr="7B3DB2D0">
        <w:rPr>
          <w:rFonts w:asciiTheme="minorHAnsi" w:eastAsiaTheme="minorEastAsia" w:hAnsiTheme="minorHAnsi" w:cstheme="minorBidi"/>
          <w:i/>
          <w:iCs/>
          <w:szCs w:val="20"/>
        </w:rPr>
        <w:t>Datastrategie en lokaal beheer</w:t>
      </w:r>
    </w:p>
    <w:p w14:paraId="19A72670" w14:textId="18B85440" w:rsidR="00C47A44" w:rsidRPr="004E7339" w:rsidRDefault="7B3DB2D0" w:rsidP="00B90249">
      <w:pPr>
        <w:pStyle w:val="paragraph"/>
        <w:spacing w:before="0" w:beforeAutospacing="0" w:after="0" w:afterAutospacing="0"/>
        <w:rPr>
          <w:rStyle w:val="normaltextrun"/>
          <w:rFonts w:asciiTheme="minorHAnsi" w:eastAsiaTheme="minorEastAsia" w:hAnsiTheme="minorHAnsi" w:cstheme="minorBidi"/>
          <w:szCs w:val="20"/>
        </w:rPr>
      </w:pPr>
      <w:r w:rsidRPr="7B3DB2D0">
        <w:rPr>
          <w:rStyle w:val="normaltextrun"/>
          <w:rFonts w:asciiTheme="minorHAnsi" w:eastAsiaTheme="minorEastAsia" w:hAnsiTheme="minorHAnsi" w:cstheme="minorBidi"/>
          <w:szCs w:val="20"/>
        </w:rPr>
        <w:t>Het interbestuurlijke datastelsel is een belangrijk punt uit de Nederlandse datastrategie. Deze strategie is mede op initiatief van de VNG ontwikkeld en schetst hoe overheidsorganisaties beter kunnen profiteren van de kansen die data bieden bij maatschappelijke opgaven. Alleen door het gebruik van data in de praktijk ontstaat waarde. Hierbij hoort een federatief datastelsel dat voortbouwt op basisregistraties. Daarin blijft data lokaal beheerd, maar is het gebruik elders toegankelijk, legitiem en begrijpelijk gemaakt via collectieve afspraken.</w:t>
      </w:r>
    </w:p>
    <w:p w14:paraId="3F5A70BD" w14:textId="1D5CFCB3" w:rsidR="00C47A44" w:rsidRPr="004E7339" w:rsidRDefault="7B3DB2D0" w:rsidP="00B90249">
      <w:pPr>
        <w:pStyle w:val="paragraph"/>
        <w:spacing w:before="0" w:beforeAutospacing="0" w:after="0" w:afterAutospacing="0"/>
        <w:rPr>
          <w:rStyle w:val="normaltextrun"/>
          <w:rFonts w:asciiTheme="minorHAnsi" w:eastAsiaTheme="minorEastAsia" w:hAnsiTheme="minorHAnsi" w:cstheme="minorBidi"/>
          <w:szCs w:val="20"/>
        </w:rPr>
      </w:pPr>
      <w:r w:rsidRPr="7B3DB2D0">
        <w:rPr>
          <w:rStyle w:val="normaltextrun"/>
          <w:rFonts w:asciiTheme="minorHAnsi" w:eastAsiaTheme="minorEastAsia" w:hAnsiTheme="minorHAnsi" w:cstheme="minorBidi"/>
          <w:szCs w:val="20"/>
        </w:rPr>
        <w:t xml:space="preserve">BghU ambieert de komende jaren een grotere rol in een regionaal objectenbeheer. Enerzijds is dit meerwaarde voor het goed kunnen uitvoeren van de taken op het gebied van de basisregistratie en lokale belastingen. Anderzijds kan zo’n regionale registratie ervoor zorgen dat individuele gemeenten dit kunnen inzetten bij ondersteuning in hun beleidsvoorbereiding. </w:t>
      </w:r>
    </w:p>
    <w:p w14:paraId="06565F4D" w14:textId="1128BCA9" w:rsidR="00C47A44" w:rsidRPr="004E7339" w:rsidRDefault="00C47A44" w:rsidP="00B90249">
      <w:pPr>
        <w:pStyle w:val="paragraph"/>
        <w:spacing w:before="0" w:beforeAutospacing="0" w:after="0" w:afterAutospacing="0"/>
        <w:rPr>
          <w:rStyle w:val="normaltextrun"/>
          <w:rFonts w:asciiTheme="minorHAnsi" w:eastAsiaTheme="minorEastAsia" w:hAnsiTheme="minorHAnsi" w:cstheme="minorBidi"/>
          <w:szCs w:val="20"/>
          <w:highlight w:val="yellow"/>
        </w:rPr>
      </w:pPr>
    </w:p>
    <w:p w14:paraId="61A9E127" w14:textId="05F4C0AF" w:rsidR="00C47A44" w:rsidRPr="004E7339" w:rsidRDefault="7B3DB2D0" w:rsidP="00B90249">
      <w:pPr>
        <w:pStyle w:val="paragraph"/>
        <w:spacing w:before="0" w:beforeAutospacing="0" w:after="0" w:afterAutospacing="0"/>
        <w:rPr>
          <w:rStyle w:val="normaltextrun"/>
          <w:rFonts w:asciiTheme="minorHAnsi" w:eastAsiaTheme="minorEastAsia" w:hAnsiTheme="minorHAnsi" w:cstheme="minorBidi"/>
          <w:szCs w:val="20"/>
        </w:rPr>
      </w:pPr>
      <w:r w:rsidRPr="7B3DB2D0">
        <w:rPr>
          <w:rStyle w:val="normaltextrun"/>
          <w:rFonts w:asciiTheme="minorHAnsi" w:eastAsiaTheme="minorEastAsia" w:hAnsiTheme="minorHAnsi" w:cstheme="minorBidi"/>
          <w:szCs w:val="20"/>
        </w:rPr>
        <w:t>Daarbij is de ontwikkeling van de Samengestelde Objectenregistratie (SOR) een mooie eerste stap in het verzamelen en optimaliseren van objectkenmerken.</w:t>
      </w:r>
    </w:p>
    <w:p w14:paraId="61B1879E" w14:textId="546EA4C9" w:rsidR="00DF74F2" w:rsidRPr="00DF74F2" w:rsidRDefault="00DF74F2" w:rsidP="00B90249">
      <w:pPr>
        <w:rPr>
          <w:rFonts w:asciiTheme="minorHAnsi" w:eastAsiaTheme="minorEastAsia" w:hAnsiTheme="minorHAnsi" w:cstheme="minorBidi"/>
          <w:szCs w:val="20"/>
        </w:rPr>
      </w:pPr>
    </w:p>
    <w:p w14:paraId="43053F9F" w14:textId="49019688" w:rsidR="16FBBEFD" w:rsidRDefault="00AD006A" w:rsidP="00B90249">
      <w:pPr>
        <w:rPr>
          <w:rFonts w:asciiTheme="minorHAnsi" w:eastAsiaTheme="minorEastAsia" w:hAnsiTheme="minorHAnsi" w:cstheme="minorBidi"/>
          <w:szCs w:val="20"/>
        </w:rPr>
      </w:pPr>
      <w:hyperlink r:id="rId18">
        <w:r w:rsidR="7B3DB2D0" w:rsidRPr="7B3DB2D0">
          <w:rPr>
            <w:rStyle w:val="Hyperlink"/>
            <w:rFonts w:asciiTheme="minorHAnsi" w:eastAsiaTheme="minorEastAsia" w:hAnsiTheme="minorHAnsi" w:cstheme="minorBidi"/>
            <w:szCs w:val="20"/>
          </w:rPr>
          <w:t>https://vng.nl/nieuws/interbestuurlijke-datastrategie-naar-de-tweede-kamer</w:t>
        </w:r>
      </w:hyperlink>
    </w:p>
    <w:p w14:paraId="0D94CFD9" w14:textId="2E4AC3D5" w:rsidR="1775D30D" w:rsidRDefault="1775D30D" w:rsidP="00B90249">
      <w:pPr>
        <w:rPr>
          <w:rFonts w:asciiTheme="minorHAnsi" w:eastAsiaTheme="minorEastAsia" w:hAnsiTheme="minorHAnsi" w:cstheme="minorBidi"/>
          <w:szCs w:val="20"/>
        </w:rPr>
      </w:pPr>
    </w:p>
    <w:p w14:paraId="16696C49" w14:textId="5C6C5C57" w:rsidR="2246BB9E" w:rsidRDefault="7B3DB2D0" w:rsidP="00B90249">
      <w:pPr>
        <w:rPr>
          <w:rFonts w:asciiTheme="minorHAnsi" w:eastAsiaTheme="minorEastAsia" w:hAnsiTheme="minorHAnsi" w:cstheme="minorBidi"/>
          <w:i/>
          <w:iCs/>
          <w:szCs w:val="20"/>
        </w:rPr>
      </w:pPr>
      <w:r w:rsidRPr="7B3DB2D0">
        <w:rPr>
          <w:rFonts w:asciiTheme="minorHAnsi" w:eastAsiaTheme="minorEastAsia" w:hAnsiTheme="minorHAnsi" w:cstheme="minorBidi"/>
          <w:i/>
          <w:iCs/>
          <w:szCs w:val="20"/>
        </w:rPr>
        <w:t>Landelijke pilot terugmeldvoorziening</w:t>
      </w:r>
    </w:p>
    <w:p w14:paraId="3AF9542B" w14:textId="77777777" w:rsidR="0080323C" w:rsidRDefault="0080323C" w:rsidP="0080323C">
      <w:pPr>
        <w:pStyle w:val="paragraph"/>
        <w:spacing w:before="0" w:beforeAutospacing="0" w:after="0" w:afterAutospacing="0"/>
        <w:textAlignment w:val="baseline"/>
        <w:rPr>
          <w:rFonts w:ascii="Segoe UI" w:hAnsi="Segoe UI" w:cs="Segoe UI"/>
          <w:sz w:val="18"/>
          <w:szCs w:val="18"/>
        </w:rPr>
      </w:pPr>
      <w:r>
        <w:rPr>
          <w:rStyle w:val="normaltextrun"/>
          <w:rFonts w:cs="Calibri"/>
          <w:szCs w:val="20"/>
        </w:rPr>
        <w:t xml:space="preserve">BghU is als belastingsamenwerking, afnemer en bronhouder van landelijke voorzieningen en basisregistraties, betrokken bij de pilot 'makkelijk melden’. Dit initiatief, dat georganiseerd is door ICTU in samenwerking met </w:t>
      </w:r>
      <w:r>
        <w:rPr>
          <w:rStyle w:val="spellingerror"/>
          <w:rFonts w:cs="Calibri"/>
          <w:szCs w:val="20"/>
        </w:rPr>
        <w:t>Logius</w:t>
      </w:r>
      <w:r>
        <w:rPr>
          <w:rStyle w:val="normaltextrun"/>
          <w:rFonts w:cs="Calibri"/>
          <w:szCs w:val="20"/>
        </w:rPr>
        <w:t xml:space="preserve"> en BZK heeft als doel dat het binnen enkele jaren mogelijk is om omissies die afnemers zien in de basisregistraties of landelijke voorzieningen op </w:t>
      </w:r>
      <w:r>
        <w:rPr>
          <w:rStyle w:val="normaltextrun"/>
          <w:rFonts w:ascii="Segoe UI" w:hAnsi="Segoe UI" w:cs="Segoe UI"/>
          <w:szCs w:val="20"/>
        </w:rPr>
        <w:t>éé</w:t>
      </w:r>
      <w:r>
        <w:rPr>
          <w:rStyle w:val="normaltextrun"/>
          <w:rFonts w:cs="Calibri"/>
          <w:szCs w:val="20"/>
        </w:rPr>
        <w:t xml:space="preserve">n plek te melden. Gestart is met de pilot om omissies in de GBAV-gegevens te melden richting de gemeentelijke bronhouders. De afnemers en bronhouders op het gebied van de BRP (Rijksbelastingdienst, gemeente Amsterdam, </w:t>
      </w:r>
      <w:r>
        <w:rPr>
          <w:rStyle w:val="spellingerror"/>
          <w:rFonts w:cs="Calibri"/>
          <w:szCs w:val="20"/>
        </w:rPr>
        <w:t>RvIG</w:t>
      </w:r>
      <w:r>
        <w:rPr>
          <w:rStyle w:val="normaltextrun"/>
          <w:rFonts w:cs="Calibri"/>
          <w:szCs w:val="20"/>
        </w:rPr>
        <w:t xml:space="preserve"> en BghU) zijn hiervoor uitgenodigd. Deze meldingen worden dan bij de juiste instantie (lees gemeente) neergelegd, onderzocht en indien nodig aangepast. Dit is een volgende en belangrijke stap in de verdere verbetering van de brondata. Binnen twee tot drie jaar moeten alle landelijke voorzieningen hierop zijn aangesloten.</w:t>
      </w:r>
      <w:r>
        <w:rPr>
          <w:rStyle w:val="eop"/>
          <w:rFonts w:cs="Calibri"/>
          <w:szCs w:val="20"/>
        </w:rPr>
        <w:t> </w:t>
      </w:r>
    </w:p>
    <w:p w14:paraId="2F6D3490" w14:textId="77777777" w:rsidR="00E753AF" w:rsidRDefault="00E753AF" w:rsidP="7B3DB2D0">
      <w:pPr>
        <w:rPr>
          <w:rFonts w:asciiTheme="minorHAnsi" w:eastAsiaTheme="minorEastAsia" w:hAnsiTheme="minorHAnsi" w:cstheme="minorBidi"/>
          <w:szCs w:val="20"/>
        </w:rPr>
      </w:pPr>
    </w:p>
    <w:p w14:paraId="3B77AEED" w14:textId="0ADA4028" w:rsidR="00E753AF" w:rsidRPr="00783A5D" w:rsidRDefault="7B3DB2D0" w:rsidP="7B3DB2D0">
      <w:pPr>
        <w:rPr>
          <w:rFonts w:asciiTheme="minorHAnsi" w:eastAsiaTheme="minorEastAsia" w:hAnsiTheme="minorHAnsi" w:cstheme="minorBidi"/>
          <w:i/>
          <w:iCs/>
          <w:szCs w:val="20"/>
        </w:rPr>
      </w:pPr>
      <w:r w:rsidRPr="7B3DB2D0">
        <w:rPr>
          <w:rFonts w:asciiTheme="minorHAnsi" w:eastAsiaTheme="minorEastAsia" w:hAnsiTheme="minorHAnsi" w:cstheme="minorBidi"/>
          <w:i/>
          <w:iCs/>
          <w:szCs w:val="20"/>
        </w:rPr>
        <w:t>Ontwikkeling BRP</w:t>
      </w:r>
    </w:p>
    <w:p w14:paraId="27971B5C" w14:textId="77777777" w:rsidR="007E26B1" w:rsidRDefault="007E26B1" w:rsidP="007E26B1">
      <w:pPr>
        <w:pStyle w:val="paragraph"/>
        <w:spacing w:before="0" w:beforeAutospacing="0" w:after="0" w:afterAutospacing="0"/>
        <w:textAlignment w:val="baseline"/>
        <w:rPr>
          <w:rStyle w:val="eop"/>
          <w:rFonts w:cs="Calibri"/>
          <w:szCs w:val="20"/>
        </w:rPr>
      </w:pPr>
      <w:r>
        <w:rPr>
          <w:rStyle w:val="normaltextrun"/>
          <w:rFonts w:cs="Calibri"/>
          <w:szCs w:val="20"/>
        </w:rPr>
        <w:t xml:space="preserve">BghU gaat als een van de eerste klanten van Gouw Belastingen gebruik maken van StuurGBAbericht, de nieuwe API-koppeling met de BRP. Hierdoor wordt er een eerste stap gezet naar de mogelijkheid om op basis van Common </w:t>
      </w:r>
      <w:r>
        <w:rPr>
          <w:rStyle w:val="spellingerror"/>
          <w:rFonts w:cs="Calibri"/>
          <w:szCs w:val="20"/>
        </w:rPr>
        <w:t>Ground</w:t>
      </w:r>
      <w:r>
        <w:rPr>
          <w:rStyle w:val="normaltextrun"/>
          <w:rFonts w:cs="Calibri"/>
          <w:szCs w:val="20"/>
        </w:rPr>
        <w:t xml:space="preserve"> te gaan werken. In de toekomst zal het daardoor mogelijk zijn om gegevens van BRP niet nogmaals in de database van het belastingsysteem op te slaan, maar bij gebruik direct vanuit de landelijke voorziening te raadplegen. Voordat dit ook daadwerkelijk ingezet kan worden is het noodzakelijk dat RvIG gebruik gaat maken van een andere factureringsmethodiek richting de afnemers die in dit geval niet vallen onder de budgetfinanciering. Op dit moment wordt er nog gebruik gemaakt van staffels. Indien er een directe opvraging plaatsvindt, zullen er in de praktijk vaker gegevens gecontroleerd moeten worden, wat de kans vergroot dat BghU daardoor wederom in een andere staffel met hogere kosten komt.</w:t>
      </w:r>
      <w:r>
        <w:rPr>
          <w:rStyle w:val="eop"/>
          <w:rFonts w:cs="Calibri"/>
          <w:szCs w:val="20"/>
        </w:rPr>
        <w:t> </w:t>
      </w:r>
    </w:p>
    <w:p w14:paraId="2B49BBF2" w14:textId="3F130A04" w:rsidR="00AC6D17" w:rsidRDefault="00AC6D17" w:rsidP="7B3DB2D0">
      <w:pPr>
        <w:rPr>
          <w:rFonts w:asciiTheme="minorHAnsi" w:eastAsiaTheme="minorEastAsia" w:hAnsiTheme="minorHAnsi" w:cstheme="minorBidi"/>
          <w:szCs w:val="20"/>
        </w:rPr>
      </w:pPr>
    </w:p>
    <w:p w14:paraId="33C14223" w14:textId="3F130A04" w:rsidR="00AC6D17" w:rsidRPr="00E753AF" w:rsidRDefault="7B3DB2D0" w:rsidP="7B3DB2D0">
      <w:pPr>
        <w:rPr>
          <w:rFonts w:asciiTheme="minorHAnsi" w:eastAsiaTheme="minorEastAsia" w:hAnsiTheme="minorHAnsi" w:cstheme="minorBidi"/>
          <w:i/>
          <w:iCs/>
          <w:szCs w:val="20"/>
        </w:rPr>
      </w:pPr>
      <w:r w:rsidRPr="7B3DB2D0">
        <w:rPr>
          <w:rFonts w:asciiTheme="minorHAnsi" w:eastAsiaTheme="minorEastAsia" w:hAnsiTheme="minorHAnsi" w:cstheme="minorBidi"/>
          <w:i/>
          <w:iCs/>
          <w:szCs w:val="20"/>
        </w:rPr>
        <w:t>Ontwikkeling BRK 2.0</w:t>
      </w:r>
    </w:p>
    <w:p w14:paraId="24F21378" w14:textId="77777777" w:rsidR="00590BDD" w:rsidRDefault="00590BDD" w:rsidP="00590BDD">
      <w:pPr>
        <w:pStyle w:val="paragraph"/>
        <w:spacing w:before="0" w:beforeAutospacing="0" w:after="0" w:afterAutospacing="0"/>
        <w:textAlignment w:val="baseline"/>
        <w:rPr>
          <w:rFonts w:ascii="Segoe UI" w:hAnsi="Segoe UI" w:cs="Segoe UI"/>
          <w:sz w:val="18"/>
          <w:szCs w:val="18"/>
        </w:rPr>
      </w:pPr>
      <w:bookmarkStart w:id="27" w:name="_Hlk117579054"/>
      <w:r>
        <w:rPr>
          <w:rStyle w:val="normaltextrun"/>
          <w:rFonts w:cs="Calibri"/>
          <w:szCs w:val="20"/>
        </w:rPr>
        <w:t>De basisregistratie Kadaster is vernieuwd op basis van het informatiemodel IMKAD 2.3 dat ook onlangs is vastgesteld. De BRK-levering 2.0 is op dit vernieuwde model gebaseerd. Het voldoet daarmee aan de meest recente wet- en regeling en bevat verbeteringen die zijn ingebracht door ons als afnemer. De structuur en compleetheid van de gegevens maakt het voor ons als afnemer mogelijk sneller een compleet beeld te krijgen van de gegevens die beschikbaar worden gesteld door het kadaster. De belangrijkste wijzingen van versie 2.0 ten opzichte van versie 1.0 zijn ontstaan door modelwijzigingen en door aanpassingen in de wetgeving, zoals het toevoegen van een indicatie voor een geheim adres en het afschaffen van het duale stelsel voor publiekrechtelijke beperkingen. </w:t>
      </w:r>
      <w:r>
        <w:rPr>
          <w:rStyle w:val="eop"/>
          <w:rFonts w:cs="Calibri"/>
          <w:szCs w:val="20"/>
        </w:rPr>
        <w:t> </w:t>
      </w:r>
      <w:bookmarkEnd w:id="27"/>
    </w:p>
    <w:p w14:paraId="75E19BB0" w14:textId="77777777" w:rsidR="00590BDD" w:rsidRDefault="00590BDD" w:rsidP="00590BDD">
      <w:pPr>
        <w:pStyle w:val="paragraph"/>
        <w:spacing w:before="0" w:beforeAutospacing="0" w:after="0" w:afterAutospacing="0"/>
        <w:textAlignment w:val="baseline"/>
        <w:rPr>
          <w:rFonts w:ascii="Segoe UI" w:hAnsi="Segoe UI" w:cs="Segoe UI"/>
          <w:sz w:val="18"/>
          <w:szCs w:val="18"/>
        </w:rPr>
      </w:pPr>
      <w:r>
        <w:rPr>
          <w:rStyle w:val="eop"/>
          <w:rFonts w:cs="Calibri"/>
          <w:szCs w:val="20"/>
        </w:rPr>
        <w:t> </w:t>
      </w:r>
    </w:p>
    <w:p w14:paraId="7398E72D" w14:textId="363701D5" w:rsidR="00017F33" w:rsidRDefault="00590BDD" w:rsidP="00590BDD">
      <w:pPr>
        <w:rPr>
          <w:rStyle w:val="normaltextrun"/>
          <w:rFonts w:cs="Calibri"/>
          <w:szCs w:val="20"/>
        </w:rPr>
      </w:pPr>
      <w:r>
        <w:rPr>
          <w:rStyle w:val="normaltextrun"/>
          <w:rFonts w:cs="Calibri"/>
          <w:szCs w:val="20"/>
        </w:rPr>
        <w:t xml:space="preserve">Op 1 februari 2022 is het </w:t>
      </w:r>
      <w:r w:rsidR="00046066">
        <w:rPr>
          <w:rStyle w:val="normaltextrun"/>
          <w:rFonts w:cs="Calibri"/>
          <w:szCs w:val="20"/>
        </w:rPr>
        <w:t>K</w:t>
      </w:r>
      <w:r>
        <w:rPr>
          <w:rStyle w:val="normaltextrun"/>
          <w:rFonts w:cs="Calibri"/>
          <w:szCs w:val="20"/>
        </w:rPr>
        <w:t xml:space="preserve">adaster gestart met de levering van BRK 2.0. Onze nieuwe leverancier van de belastingapplicatie is klaar voor de verwerking van deze berichtenstroom. De eerste pilots met andere klanten zijn vorige maand met succes doorlopen. BghU staat voor begin 2023 op de planning om over te stappen. We verwachten door deze wijziging dat de gegevens sneller verwerkt kunnen worden. Inhoudelijk zal deze update </w:t>
      </w:r>
      <w:r>
        <w:rPr>
          <w:rStyle w:val="normaltextrun"/>
          <w:rFonts w:cs="Calibri"/>
          <w:szCs w:val="20"/>
        </w:rPr>
        <w:lastRenderedPageBreak/>
        <w:t>voornamelijk van belang zijn doordat we bij de aanslagoplegging op de hoogte zijn van het feit dat er een indicatie voor een geheim adres wordt meegezonden waar rekening mee kan worden gehouden.</w:t>
      </w:r>
    </w:p>
    <w:p w14:paraId="6124C33C" w14:textId="77777777" w:rsidR="00590BDD" w:rsidRDefault="00590BDD" w:rsidP="00590BDD">
      <w:pPr>
        <w:rPr>
          <w:rFonts w:asciiTheme="minorHAnsi" w:eastAsiaTheme="minorEastAsia" w:hAnsiTheme="minorHAnsi" w:cstheme="minorBidi"/>
          <w:szCs w:val="20"/>
        </w:rPr>
      </w:pPr>
    </w:p>
    <w:p w14:paraId="5DD27B47" w14:textId="3D1A705E" w:rsidR="00017F33" w:rsidRPr="00911468" w:rsidRDefault="7B3DB2D0" w:rsidP="7B3DB2D0">
      <w:pPr>
        <w:rPr>
          <w:rFonts w:asciiTheme="minorHAnsi" w:eastAsiaTheme="minorEastAsia" w:hAnsiTheme="minorHAnsi" w:cstheme="minorBidi"/>
          <w:i/>
          <w:iCs/>
          <w:szCs w:val="20"/>
        </w:rPr>
      </w:pPr>
      <w:r w:rsidRPr="7B3DB2D0">
        <w:rPr>
          <w:rFonts w:asciiTheme="minorHAnsi" w:eastAsiaTheme="minorEastAsia" w:hAnsiTheme="minorHAnsi" w:cstheme="minorBidi"/>
          <w:i/>
          <w:iCs/>
          <w:szCs w:val="20"/>
        </w:rPr>
        <w:t>Ontwikkelingen Kamer van Koophandel (Basisregistratie HR)</w:t>
      </w:r>
    </w:p>
    <w:p w14:paraId="37EDB237" w14:textId="77777777" w:rsidR="000A44FB" w:rsidRDefault="000A44FB" w:rsidP="000A44FB">
      <w:pPr>
        <w:pStyle w:val="paragraph"/>
        <w:spacing w:before="0" w:beforeAutospacing="0" w:after="0" w:afterAutospacing="0"/>
        <w:textAlignment w:val="baseline"/>
        <w:rPr>
          <w:rFonts w:ascii="Segoe UI" w:hAnsi="Segoe UI" w:cs="Segoe UI"/>
          <w:sz w:val="18"/>
          <w:szCs w:val="18"/>
        </w:rPr>
      </w:pPr>
      <w:r>
        <w:rPr>
          <w:rStyle w:val="normaltextrun"/>
          <w:rFonts w:cs="Calibri"/>
          <w:szCs w:val="20"/>
        </w:rPr>
        <w:t xml:space="preserve">Met ingang van 1 januari 2024 gaat de dienstverlening van de kamer van koophandel (KvK) veranderen. Wordt er nu nog gebruik gemaakt van maandelijkse mutatiebestanden die na levering aan BghU gecontroleerd, opgezocht en verwerkt moeten worden, zal na 1 januari 2024 een API beschikbaar zijn die direct wijzigingen op een (bedrijfs)adres als melding doorgeeft, waarna een medewerker via de belastingapplicatie een keus kan maken de wijziging te accepteren. We verwachten dat in de komende jaren deze ontwikkeling verder zal gaan en er een geheel geautomatiseerde koppeling tot stand komt die vergelijkbaar is met die van de BRP. Vooruitlopend hierop heeft onze toezichthouder de Waarderingskamer, in het kader van het informatiemodel IMWOZ, een aanbeveling gedaan hoe om te gaan met hoofd- en nevenvestigingen. Door problemen bij de Rijksbelastingdienst bij de koppelingen van de WOZ-waarde aan de eigenaren is het advies om alleen nog gebruik te maken van de hoofdvestigingen en de juridisch correcte naam. BghU zal dit advies overnemen en de komende maanden de bestanden hierop aanpassen en communiceren met de eigenaren en gebruikers in de nevenvestiging die nu nog zelf een aanslag vanuit BghU ontvangen. In praktijk betekent dit dat er geen aanslagen meer opgelegd worden aan nevenvestigingen, maar dat alle vestigingen meer gecombineerd worden op </w:t>
      </w:r>
      <w:r>
        <w:rPr>
          <w:rStyle w:val="normaltextrun"/>
          <w:rFonts w:ascii="Segoe UI" w:hAnsi="Segoe UI" w:cs="Segoe UI"/>
          <w:szCs w:val="20"/>
        </w:rPr>
        <w:t>één biljet</w:t>
      </w:r>
      <w:r>
        <w:rPr>
          <w:rStyle w:val="normaltextrun"/>
          <w:rFonts w:cs="Calibri"/>
          <w:szCs w:val="20"/>
        </w:rPr>
        <w:t xml:space="preserve"> met de juiste juridische tenaamstelling en het adres van de hoofdvesting.</w:t>
      </w:r>
      <w:r>
        <w:rPr>
          <w:rStyle w:val="eop"/>
          <w:rFonts w:cs="Calibri"/>
          <w:szCs w:val="20"/>
        </w:rPr>
        <w:t> </w:t>
      </w:r>
    </w:p>
    <w:p w14:paraId="3971D442" w14:textId="77777777" w:rsidR="00CB5FC3" w:rsidRDefault="00CB5FC3" w:rsidP="7B3DB2D0">
      <w:pPr>
        <w:rPr>
          <w:rFonts w:asciiTheme="minorHAnsi" w:eastAsiaTheme="minorEastAsia" w:hAnsiTheme="minorHAnsi" w:cstheme="minorBidi"/>
          <w:szCs w:val="20"/>
        </w:rPr>
      </w:pPr>
    </w:p>
    <w:p w14:paraId="2040F90B" w14:textId="19CBA860" w:rsidR="00CB5FC3" w:rsidRPr="00194508" w:rsidRDefault="7B3DB2D0" w:rsidP="7B3DB2D0">
      <w:pPr>
        <w:rPr>
          <w:rFonts w:asciiTheme="minorHAnsi" w:eastAsiaTheme="minorEastAsia" w:hAnsiTheme="minorHAnsi" w:cstheme="minorBidi"/>
          <w:i/>
          <w:iCs/>
          <w:szCs w:val="20"/>
        </w:rPr>
      </w:pPr>
      <w:r w:rsidRPr="7B3DB2D0">
        <w:rPr>
          <w:rFonts w:asciiTheme="minorHAnsi" w:eastAsiaTheme="minorEastAsia" w:hAnsiTheme="minorHAnsi" w:cstheme="minorBidi"/>
          <w:i/>
          <w:iCs/>
          <w:szCs w:val="20"/>
        </w:rPr>
        <w:t>Ontwikkelingen omgevingswet</w:t>
      </w:r>
    </w:p>
    <w:p w14:paraId="6E82E496" w14:textId="217BD5ED" w:rsidR="006A1E98" w:rsidRDefault="00080E10" w:rsidP="7B3DB2D0">
      <w:pPr>
        <w:rPr>
          <w:rFonts w:asciiTheme="minorHAnsi" w:eastAsiaTheme="minorEastAsia" w:hAnsiTheme="minorHAnsi" w:cstheme="minorBidi"/>
          <w:szCs w:val="20"/>
        </w:rPr>
      </w:pPr>
      <w:r>
        <w:rPr>
          <w:rStyle w:val="normaltextrun"/>
          <w:rFonts w:cs="Calibri"/>
          <w:szCs w:val="20"/>
        </w:rPr>
        <w:t>Onlangs is voor de derde keer de introductie van de nieuwe Omgevingswet uitgesteld. De nieuwe ingangsdatum is nu gesteld op 1 juli 2023. De Omgevingswet gaat er de komende jaren voor zorgen dat de regels voor ruimtelijke ontwikkeling vereenvoudigd en samengevoegd worden. Hierdoor is de verwachting dat het straks bijvoorbeeld makkelijker zal zijn om bouwprojecten te starten en dat het voor de aanvrager van een bouwvergunning een stuk eenvoudiger zal worden. Met de invoering van de wet kan een efficiencyslag bereikt worden d.m.v. de gecentraliseerde ontsluiting van bouwvergunningen. Daar staat tegenover dat het voor BAG en WOZ een stuk lastiger wordt om actuele objectgegevens te verzamelen die vergunningsvrij zijn. In de toekomst zal er dan nog meer gezocht moeten worden hoe objectkenmerken up-to-date blijven. Dat kan bijvoorbeeld door nog meer gebruik te maken van luchtfoto’s en luchtfotovergelijk, maar ook van buitendienstmedewerkers en meldingen vanuit verkoopgegevens en andere bronnen. Daarnaast zijn er al contacten gelegd met woningbouwverenigingen, beleggers en andere instanties die ons daarbij kunnen helpen.</w:t>
      </w:r>
    </w:p>
    <w:p w14:paraId="01DBB75E" w14:textId="77777777" w:rsidR="00DF74F2" w:rsidRDefault="00DF74F2" w:rsidP="00DF74F2">
      <w:pPr>
        <w:pStyle w:val="Kop2"/>
      </w:pPr>
      <w:bookmarkStart w:id="28" w:name="_Toc121747477"/>
      <w:r>
        <w:t>4.3 Waardebepaling</w:t>
      </w:r>
      <w:bookmarkEnd w:id="28"/>
    </w:p>
    <w:p w14:paraId="7EE473D7" w14:textId="7EAC4B23" w:rsidR="57DC2CF0" w:rsidRDefault="7B3DB2D0" w:rsidP="00411BA8">
      <w:pPr>
        <w:rPr>
          <w:rFonts w:asciiTheme="minorHAnsi" w:eastAsiaTheme="minorEastAsia" w:hAnsiTheme="minorHAnsi" w:cstheme="minorBidi"/>
          <w:i/>
          <w:iCs/>
          <w:szCs w:val="20"/>
        </w:rPr>
      </w:pPr>
      <w:r w:rsidRPr="007E4B01">
        <w:rPr>
          <w:rFonts w:asciiTheme="minorHAnsi" w:eastAsiaTheme="minorEastAsia" w:hAnsiTheme="minorHAnsi" w:cstheme="minorBidi"/>
          <w:i/>
          <w:iCs/>
          <w:szCs w:val="20"/>
        </w:rPr>
        <w:t>Nieuwe waarderingsapplicatie en ontwikkelinge</w:t>
      </w:r>
      <w:r w:rsidR="008D00EF">
        <w:rPr>
          <w:rFonts w:asciiTheme="minorHAnsi" w:eastAsiaTheme="minorEastAsia" w:hAnsiTheme="minorHAnsi" w:cstheme="minorBidi"/>
          <w:i/>
          <w:iCs/>
          <w:szCs w:val="20"/>
        </w:rPr>
        <w:t>n</w:t>
      </w:r>
    </w:p>
    <w:p w14:paraId="77386A41" w14:textId="1BF45312" w:rsidR="57DC2CF0" w:rsidRDefault="7B3DB2D0" w:rsidP="003909D3">
      <w:pPr>
        <w:pStyle w:val="Lijstalinea"/>
        <w:numPr>
          <w:ilvl w:val="0"/>
          <w:numId w:val="37"/>
        </w:numPr>
        <w:rPr>
          <w:rFonts w:asciiTheme="minorHAnsi" w:eastAsiaTheme="minorEastAsia" w:hAnsiTheme="minorHAnsi" w:cstheme="minorBidi"/>
          <w:szCs w:val="20"/>
        </w:rPr>
      </w:pPr>
      <w:r w:rsidRPr="003909D3">
        <w:rPr>
          <w:rFonts w:asciiTheme="minorHAnsi" w:eastAsiaTheme="minorEastAsia" w:hAnsiTheme="minorHAnsi" w:cstheme="minorBidi"/>
          <w:szCs w:val="20"/>
        </w:rPr>
        <w:t>In mei 2022 is de nieuwe waarderingsapplicatie in gebruik genomen voor de herwaardering belastingjaar 2023. De komende jaren zal er een verdere optimalisatie gaan plaatsvinden van de modelinrichting van zowel woningen als courante niet-woningen. De medewerker heeft direct inzicht in de voortgang van de diverse processen door een eigen dashbo</w:t>
      </w:r>
      <w:r w:rsidR="00217A3A">
        <w:rPr>
          <w:rFonts w:asciiTheme="minorHAnsi" w:eastAsiaTheme="minorEastAsia" w:hAnsiTheme="minorHAnsi" w:cstheme="minorBidi"/>
          <w:szCs w:val="20"/>
        </w:rPr>
        <w:t>a</w:t>
      </w:r>
      <w:r w:rsidRPr="003909D3">
        <w:rPr>
          <w:rFonts w:asciiTheme="minorHAnsi" w:eastAsiaTheme="minorEastAsia" w:hAnsiTheme="minorHAnsi" w:cstheme="minorBidi"/>
          <w:szCs w:val="20"/>
        </w:rPr>
        <w:t>rd</w:t>
      </w:r>
      <w:r w:rsidR="003909D3">
        <w:rPr>
          <w:rFonts w:asciiTheme="minorHAnsi" w:eastAsiaTheme="minorEastAsia" w:hAnsiTheme="minorHAnsi" w:cstheme="minorBidi"/>
          <w:szCs w:val="20"/>
        </w:rPr>
        <w:t>;</w:t>
      </w:r>
    </w:p>
    <w:p w14:paraId="10BD6F1A" w14:textId="34F91093" w:rsidR="005D4987" w:rsidRDefault="70764165" w:rsidP="70764165">
      <w:pPr>
        <w:pStyle w:val="Lijstalinea"/>
        <w:numPr>
          <w:ilvl w:val="0"/>
          <w:numId w:val="37"/>
        </w:numPr>
        <w:rPr>
          <w:rFonts w:asciiTheme="minorHAnsi" w:eastAsiaTheme="minorEastAsia" w:hAnsiTheme="minorHAnsi" w:cstheme="minorBidi"/>
        </w:rPr>
      </w:pPr>
      <w:r w:rsidRPr="70764165">
        <w:rPr>
          <w:rFonts w:asciiTheme="minorHAnsi" w:eastAsiaTheme="minorEastAsia" w:hAnsiTheme="minorHAnsi" w:cstheme="minorBidi"/>
        </w:rPr>
        <w:t>In overleg met de Waarderingskamer heeft de nieuwe waarderingsapplicatie een nieuw taxatierapport en matrix ontwikkeld voor woningen, waarmee een belanghebbende of een rechter een nog beter inzicht krijgt in alle relevante en waarde-bepalende factoren van de onderbouwingen én van het te waarderen object en komt hiermee tegemoet aan de wensen en eisen die de Waarderingskamer en rechtspraak stellen. Op deze wijze kan transparant en volledig inzicht gegeven worden in alle onderdelen die uiteindelijk leiden tot de modelmatige waardebepaling van een object;</w:t>
      </w:r>
    </w:p>
    <w:p w14:paraId="6E60B14E" w14:textId="4E482BBE" w:rsidR="003327E1" w:rsidRDefault="70764165" w:rsidP="70764165">
      <w:pPr>
        <w:pStyle w:val="Lijstalinea"/>
        <w:numPr>
          <w:ilvl w:val="0"/>
          <w:numId w:val="37"/>
        </w:numPr>
        <w:rPr>
          <w:rFonts w:asciiTheme="minorHAnsi" w:eastAsiaTheme="minorEastAsia" w:hAnsiTheme="minorHAnsi" w:cstheme="minorBidi"/>
        </w:rPr>
      </w:pPr>
      <w:r w:rsidRPr="3B077BEA">
        <w:rPr>
          <w:rFonts w:asciiTheme="minorHAnsi" w:eastAsiaTheme="minorEastAsia" w:hAnsiTheme="minorHAnsi" w:cstheme="minorBidi"/>
        </w:rPr>
        <w:t>De AI/ML</w:t>
      </w:r>
      <w:r w:rsidR="00046066">
        <w:rPr>
          <w:rFonts w:asciiTheme="minorHAnsi" w:eastAsiaTheme="minorEastAsia" w:hAnsiTheme="minorHAnsi" w:cstheme="minorBidi"/>
        </w:rPr>
        <w:t xml:space="preserve"> (</w:t>
      </w:r>
      <w:r w:rsidR="00046066" w:rsidRPr="00046066">
        <w:rPr>
          <w:rFonts w:asciiTheme="minorHAnsi" w:eastAsiaTheme="minorEastAsia" w:hAnsiTheme="minorHAnsi" w:cstheme="minorBidi"/>
          <w:i/>
          <w:iCs/>
        </w:rPr>
        <w:t>artificial intelligence/machine learning</w:t>
      </w:r>
      <w:r w:rsidR="00046066">
        <w:rPr>
          <w:rFonts w:asciiTheme="minorHAnsi" w:eastAsiaTheme="minorEastAsia" w:hAnsiTheme="minorHAnsi" w:cstheme="minorBidi"/>
        </w:rPr>
        <w:t>)</w:t>
      </w:r>
      <w:r w:rsidRPr="3B077BEA">
        <w:rPr>
          <w:rFonts w:asciiTheme="minorHAnsi" w:eastAsiaTheme="minorEastAsia" w:hAnsiTheme="minorHAnsi" w:cstheme="minorBidi"/>
        </w:rPr>
        <w:t xml:space="preserve"> functionaliteit is als onderdeel toegevoegd in onze applicatie en zit nog in de ontwikkelfase. De komende jaren zullen deze modellen naast de traditionele modellen gaan draaien. De AI/ML-waarde heeft de potentie om uit te groeien tot een definitieve waarde. Wanneer blijkt dat deze potentie er inderdaad is, zal de waarderingsapplicatie worden aangepast zodat het bepalen van een getaxeerde te waarde door middel van AI/ ML mogelijk wordt. Dit zal uiteraard ook de nodige kennis en vaardigheden vereisen bij de taxateurs om nog meer in modellen en data te moeten gaan denken</w:t>
      </w:r>
      <w:r w:rsidR="537D6DBB" w:rsidRPr="3B077BEA">
        <w:rPr>
          <w:rFonts w:asciiTheme="minorHAnsi" w:eastAsiaTheme="minorEastAsia" w:hAnsiTheme="minorHAnsi" w:cstheme="minorBidi"/>
        </w:rPr>
        <w:t>. De inzet van deze functionaliteit zal moeten voldoen aan de AVG</w:t>
      </w:r>
      <w:r w:rsidRPr="3B077BEA">
        <w:rPr>
          <w:rFonts w:asciiTheme="minorHAnsi" w:eastAsiaTheme="minorEastAsia" w:hAnsiTheme="minorHAnsi" w:cstheme="minorBidi"/>
        </w:rPr>
        <w:t>;</w:t>
      </w:r>
    </w:p>
    <w:p w14:paraId="56B9C060" w14:textId="77777777" w:rsidR="006D01C9" w:rsidRPr="001F0D23" w:rsidRDefault="7B3DB2D0" w:rsidP="001F0D23">
      <w:pPr>
        <w:pStyle w:val="Lijstalinea"/>
        <w:numPr>
          <w:ilvl w:val="0"/>
          <w:numId w:val="37"/>
        </w:numPr>
        <w:rPr>
          <w:rFonts w:asciiTheme="minorHAnsi" w:eastAsiaTheme="minorEastAsia" w:hAnsiTheme="minorHAnsi" w:cstheme="minorBidi"/>
          <w:color w:val="333333"/>
          <w:szCs w:val="20"/>
        </w:rPr>
      </w:pPr>
      <w:r w:rsidRPr="001F0D23">
        <w:rPr>
          <w:rFonts w:asciiTheme="minorHAnsi" w:eastAsiaTheme="minorEastAsia" w:hAnsiTheme="minorHAnsi" w:cstheme="minorBidi"/>
          <w:color w:val="333333"/>
          <w:szCs w:val="20"/>
        </w:rPr>
        <w:t xml:space="preserve">De inhoud van het nieuwe WOZ-taxatieverslag kent een aantal lagen. De eerste pagina geeft een globaal beeld van de ontwikkelingen etc. Voor iemand die alleen globaal geïnteresseerd is, zal deze eerste pagina wellicht al genoeg zijn. De tweede laag bestaat uit de volgende drie pagina, waarin de onderbouwende marktgegevens staan, een toelichting op modelmatige waardebepaling en diverse </w:t>
      </w:r>
      <w:r w:rsidRPr="001F0D23">
        <w:rPr>
          <w:rFonts w:asciiTheme="minorHAnsi" w:eastAsiaTheme="minorEastAsia" w:hAnsiTheme="minorHAnsi" w:cstheme="minorBidi"/>
          <w:color w:val="333333"/>
          <w:szCs w:val="20"/>
        </w:rPr>
        <w:lastRenderedPageBreak/>
        <w:t>kenmerken van de directe omgeving. Tenslotte is het de bedoeling dat het taxatieverslag ook een link bevat naar het verantwoordingsdocument. In het verantwoordingsdocument kan de gemeente of uitvoeringsorganisatie een algehele toelichting geven op de uitgevoerde herwaardering met vermelding van onder meer de gegevens die het meest bepalend zijn voor de waarde, de bevindingen uit de kwaliteitscontroles en de samenstelling van het team (welke disciplines) dat de herwaardering heeft verzorgd. Dit verantwoordingsdocument is daarmee eigenlijk de derde laag van de onderbouwing van de taxatie.</w:t>
      </w:r>
      <w:r w:rsidR="006D01C9" w:rsidRPr="001F0D23">
        <w:rPr>
          <w:rFonts w:asciiTheme="minorHAnsi" w:eastAsiaTheme="minorEastAsia" w:hAnsiTheme="minorHAnsi" w:cstheme="minorBidi"/>
          <w:color w:val="333333"/>
          <w:szCs w:val="20"/>
        </w:rPr>
        <w:t xml:space="preserve"> </w:t>
      </w:r>
      <w:r w:rsidRPr="001F0D23">
        <w:rPr>
          <w:rFonts w:asciiTheme="minorHAnsi" w:eastAsiaTheme="minorEastAsia" w:hAnsiTheme="minorHAnsi" w:cstheme="minorBidi"/>
          <w:color w:val="333333"/>
          <w:szCs w:val="20"/>
        </w:rPr>
        <w:t>Het vernieuwde taxatieverslag bevat veel meer dan de tot nu toe gebruikte taxatieverslagen ook foto's, grafieken, kaartjes etc. Dat betekent dat het (massaal) vervaardigen van dit taxatieverslag andere functionaliteit vraagt van de gebruikte taxatie-applicatie. In 2022 heeft er een pilot plaatsgevonden, maar nog niet voldoende resultaten opgeleverd, zodat op dit moment nog onduidelijk is wanneer de verplichting van het nieuwe taxatieverslag als eis zal gelden.</w:t>
      </w:r>
    </w:p>
    <w:p w14:paraId="37B503FF" w14:textId="43EBEE76" w:rsidR="4B2AE5C0" w:rsidRPr="001F0D23" w:rsidRDefault="7B3DB2D0" w:rsidP="001F0D23">
      <w:pPr>
        <w:pStyle w:val="Lijstalinea"/>
        <w:numPr>
          <w:ilvl w:val="0"/>
          <w:numId w:val="37"/>
        </w:numPr>
        <w:rPr>
          <w:rFonts w:asciiTheme="minorHAnsi" w:eastAsiaTheme="minorEastAsia" w:hAnsiTheme="minorHAnsi" w:cstheme="minorBidi"/>
          <w:color w:val="333333"/>
          <w:szCs w:val="20"/>
        </w:rPr>
      </w:pPr>
      <w:r w:rsidRPr="001F0D23">
        <w:rPr>
          <w:rFonts w:asciiTheme="minorHAnsi" w:eastAsiaTheme="minorEastAsia" w:hAnsiTheme="minorHAnsi" w:cstheme="minorBidi"/>
          <w:color w:val="333333"/>
          <w:szCs w:val="20"/>
        </w:rPr>
        <w:t>Onze huidige leverancier van de waarderingsapplicatie houdt zich steeds bezig met nieuwe ontwikkelingen zoals een bezwarenapp en een woz-calculator. Deze ontwikkelingen zullen we nauwgezet volgen en gaan afnemen als de belasting- en waarderingsapplicatie voldoende geïntegreerd zijn.</w:t>
      </w:r>
      <w:r w:rsidR="001F0D23">
        <w:rPr>
          <w:rFonts w:asciiTheme="minorHAnsi" w:eastAsiaTheme="minorEastAsia" w:hAnsiTheme="minorHAnsi" w:cstheme="minorBidi"/>
          <w:color w:val="333333"/>
          <w:szCs w:val="20"/>
        </w:rPr>
        <w:br/>
      </w:r>
    </w:p>
    <w:p w14:paraId="14B5B56C" w14:textId="3E3045FE" w:rsidR="007A5898" w:rsidRPr="001F0D23" w:rsidRDefault="7B3DB2D0" w:rsidP="003A02F8">
      <w:pPr>
        <w:rPr>
          <w:rFonts w:asciiTheme="minorHAnsi" w:eastAsiaTheme="minorEastAsia" w:hAnsiTheme="minorHAnsi" w:cstheme="minorBidi"/>
          <w:i/>
          <w:iCs/>
          <w:szCs w:val="20"/>
        </w:rPr>
      </w:pPr>
      <w:r w:rsidRPr="001F0D23">
        <w:rPr>
          <w:rFonts w:asciiTheme="minorHAnsi" w:eastAsiaTheme="minorEastAsia" w:hAnsiTheme="minorHAnsi" w:cstheme="minorBidi"/>
          <w:i/>
          <w:iCs/>
          <w:szCs w:val="20"/>
        </w:rPr>
        <w:t>Vernieuwd WOZ-Waardeloket</w:t>
      </w:r>
    </w:p>
    <w:p w14:paraId="26623C1C" w14:textId="15C6EE40" w:rsidR="2CE3EEC5" w:rsidRPr="001F0D23" w:rsidRDefault="7B3DB2D0" w:rsidP="00192454">
      <w:pPr>
        <w:pStyle w:val="Lijstalinea"/>
        <w:numPr>
          <w:ilvl w:val="0"/>
          <w:numId w:val="38"/>
        </w:numPr>
        <w:ind w:left="709"/>
        <w:rPr>
          <w:rFonts w:asciiTheme="minorHAnsi" w:eastAsiaTheme="minorEastAsia" w:hAnsiTheme="minorHAnsi" w:cstheme="minorBidi"/>
          <w:color w:val="333333"/>
          <w:szCs w:val="20"/>
        </w:rPr>
      </w:pPr>
      <w:r w:rsidRPr="001F0D23">
        <w:rPr>
          <w:rFonts w:asciiTheme="minorHAnsi" w:eastAsiaTheme="minorEastAsia" w:hAnsiTheme="minorHAnsi" w:cstheme="minorBidi"/>
          <w:color w:val="333333"/>
          <w:szCs w:val="20"/>
        </w:rPr>
        <w:t>Woningen zonder BAG adres kunnen nu ook gevonden worden in het WOZ-waardeloket. Dit betreft met name recreatiewoningen</w:t>
      </w:r>
      <w:r w:rsidR="00117D23">
        <w:rPr>
          <w:rFonts w:asciiTheme="minorHAnsi" w:eastAsiaTheme="minorEastAsia" w:hAnsiTheme="minorHAnsi" w:cstheme="minorBidi"/>
          <w:color w:val="333333"/>
          <w:szCs w:val="20"/>
        </w:rPr>
        <w:t>;</w:t>
      </w:r>
    </w:p>
    <w:p w14:paraId="262FFBD5" w14:textId="4A806D1A" w:rsidR="2CE3EEC5" w:rsidRPr="001F0D23" w:rsidRDefault="7B3DB2D0" w:rsidP="00192454">
      <w:pPr>
        <w:pStyle w:val="Lijstalinea"/>
        <w:numPr>
          <w:ilvl w:val="0"/>
          <w:numId w:val="38"/>
        </w:numPr>
        <w:ind w:left="709"/>
        <w:rPr>
          <w:rFonts w:asciiTheme="minorHAnsi" w:eastAsiaTheme="minorEastAsia" w:hAnsiTheme="minorHAnsi" w:cstheme="minorBidi"/>
          <w:color w:val="333333"/>
          <w:szCs w:val="20"/>
        </w:rPr>
      </w:pPr>
      <w:r w:rsidRPr="001F0D23">
        <w:rPr>
          <w:rFonts w:asciiTheme="minorHAnsi" w:eastAsiaTheme="minorEastAsia" w:hAnsiTheme="minorHAnsi" w:cstheme="minorBidi"/>
          <w:color w:val="333333"/>
          <w:szCs w:val="20"/>
        </w:rPr>
        <w:t>Naast de WOZ-waarde wordt nu ook de grondoppervlakte uit de basisregistratie WOZ getoond. Door het tonen van de grondoppervlakte zijn woningen onderling beter vergelijkbaar</w:t>
      </w:r>
      <w:r w:rsidR="00117D23">
        <w:rPr>
          <w:rFonts w:asciiTheme="minorHAnsi" w:eastAsiaTheme="minorEastAsia" w:hAnsiTheme="minorHAnsi" w:cstheme="minorBidi"/>
          <w:color w:val="333333"/>
          <w:szCs w:val="20"/>
        </w:rPr>
        <w:t>;</w:t>
      </w:r>
    </w:p>
    <w:p w14:paraId="0D22C042" w14:textId="35D4839B" w:rsidR="2CE3EEC5" w:rsidRPr="001F0D23" w:rsidRDefault="7B3DB2D0" w:rsidP="00192454">
      <w:pPr>
        <w:pStyle w:val="Lijstalinea"/>
        <w:numPr>
          <w:ilvl w:val="0"/>
          <w:numId w:val="38"/>
        </w:numPr>
        <w:ind w:left="709"/>
        <w:rPr>
          <w:rFonts w:asciiTheme="minorHAnsi" w:eastAsiaTheme="minorEastAsia" w:hAnsiTheme="minorHAnsi" w:cstheme="minorBidi"/>
          <w:color w:val="333333"/>
          <w:szCs w:val="20"/>
        </w:rPr>
      </w:pPr>
      <w:r w:rsidRPr="001F0D23">
        <w:rPr>
          <w:rFonts w:asciiTheme="minorHAnsi" w:eastAsiaTheme="minorEastAsia" w:hAnsiTheme="minorHAnsi" w:cstheme="minorBidi"/>
          <w:color w:val="333333"/>
          <w:szCs w:val="20"/>
        </w:rPr>
        <w:t>Het WOZ-waardeloket is actueler. Het wordt elk uur bijgewerkt. Voorheen was dit eens per week</w:t>
      </w:r>
      <w:r w:rsidR="004B4243">
        <w:rPr>
          <w:rFonts w:asciiTheme="minorHAnsi" w:eastAsiaTheme="minorEastAsia" w:hAnsiTheme="minorHAnsi" w:cstheme="minorBidi"/>
          <w:color w:val="333333"/>
          <w:szCs w:val="20"/>
        </w:rPr>
        <w:t xml:space="preserve">; </w:t>
      </w:r>
      <w:r w:rsidRPr="001F0D23">
        <w:rPr>
          <w:rFonts w:asciiTheme="minorHAnsi" w:eastAsiaTheme="minorEastAsia" w:hAnsiTheme="minorHAnsi" w:cstheme="minorBidi"/>
          <w:color w:val="333333"/>
          <w:szCs w:val="20"/>
        </w:rPr>
        <w:t>(Tijdens piek perioden kunnen de gegevens maximaal 6 uur oud zijn.)</w:t>
      </w:r>
    </w:p>
    <w:p w14:paraId="4ED8828F" w14:textId="66F06170" w:rsidR="2CE3EEC5" w:rsidRPr="001F0D23" w:rsidRDefault="7B3DB2D0" w:rsidP="00192454">
      <w:pPr>
        <w:pStyle w:val="Lijstalinea"/>
        <w:numPr>
          <w:ilvl w:val="0"/>
          <w:numId w:val="38"/>
        </w:numPr>
        <w:ind w:left="709"/>
        <w:rPr>
          <w:rFonts w:asciiTheme="minorHAnsi" w:eastAsiaTheme="minorEastAsia" w:hAnsiTheme="minorHAnsi" w:cstheme="minorBidi"/>
          <w:color w:val="333333"/>
          <w:szCs w:val="20"/>
        </w:rPr>
      </w:pPr>
      <w:r w:rsidRPr="001F0D23">
        <w:rPr>
          <w:rFonts w:asciiTheme="minorHAnsi" w:eastAsiaTheme="minorEastAsia" w:hAnsiTheme="minorHAnsi" w:cstheme="minorBidi"/>
          <w:color w:val="333333"/>
          <w:szCs w:val="20"/>
        </w:rPr>
        <w:t>Nieuwe luchtfoto’s en het tonen van de kadastrale percelen geven een beter beeld van het gevonden WOZ-object</w:t>
      </w:r>
      <w:r w:rsidR="004B4243">
        <w:rPr>
          <w:rFonts w:asciiTheme="minorHAnsi" w:eastAsiaTheme="minorEastAsia" w:hAnsiTheme="minorHAnsi" w:cstheme="minorBidi"/>
          <w:color w:val="333333"/>
          <w:szCs w:val="20"/>
        </w:rPr>
        <w:t>;</w:t>
      </w:r>
    </w:p>
    <w:p w14:paraId="769C3979" w14:textId="31269085" w:rsidR="2CE3EEC5" w:rsidRPr="001F0D23" w:rsidRDefault="7B3DB2D0" w:rsidP="00192454">
      <w:pPr>
        <w:pStyle w:val="Lijstalinea"/>
        <w:numPr>
          <w:ilvl w:val="0"/>
          <w:numId w:val="38"/>
        </w:numPr>
        <w:ind w:left="709"/>
        <w:rPr>
          <w:rFonts w:asciiTheme="minorHAnsi" w:eastAsiaTheme="minorEastAsia" w:hAnsiTheme="minorHAnsi" w:cstheme="minorBidi"/>
          <w:color w:val="333333"/>
          <w:szCs w:val="20"/>
        </w:rPr>
      </w:pPr>
      <w:r w:rsidRPr="001F0D23">
        <w:rPr>
          <w:rFonts w:asciiTheme="minorHAnsi" w:eastAsiaTheme="minorEastAsia" w:hAnsiTheme="minorHAnsi" w:cstheme="minorBidi"/>
          <w:color w:val="333333"/>
          <w:szCs w:val="20"/>
        </w:rPr>
        <w:t>De koppeling naar de BAG-viewer werkt nu met een link bij adresseerbaar object en nummeraanduiding</w:t>
      </w:r>
      <w:r w:rsidR="00E87329">
        <w:rPr>
          <w:rFonts w:asciiTheme="minorHAnsi" w:eastAsiaTheme="minorEastAsia" w:hAnsiTheme="minorHAnsi" w:cstheme="minorBidi"/>
          <w:color w:val="333333"/>
          <w:szCs w:val="20"/>
        </w:rPr>
        <w:t>;</w:t>
      </w:r>
    </w:p>
    <w:p w14:paraId="06B9CAAE" w14:textId="4FA7D1B7" w:rsidR="2CE3EEC5" w:rsidRPr="001F0D23" w:rsidRDefault="7B3DB2D0" w:rsidP="00192454">
      <w:pPr>
        <w:pStyle w:val="Lijstalinea"/>
        <w:numPr>
          <w:ilvl w:val="0"/>
          <w:numId w:val="38"/>
        </w:numPr>
        <w:ind w:left="709"/>
        <w:rPr>
          <w:rFonts w:asciiTheme="minorHAnsi" w:eastAsiaTheme="minorEastAsia" w:hAnsiTheme="minorHAnsi" w:cstheme="minorBidi"/>
          <w:color w:val="333333"/>
          <w:szCs w:val="20"/>
        </w:rPr>
      </w:pPr>
      <w:r w:rsidRPr="001F0D23">
        <w:rPr>
          <w:rFonts w:asciiTheme="minorHAnsi" w:eastAsiaTheme="minorEastAsia" w:hAnsiTheme="minorHAnsi" w:cstheme="minorBidi"/>
          <w:color w:val="333333"/>
          <w:szCs w:val="20"/>
        </w:rPr>
        <w:t>Het WOZ-waardeloket voldoet nu aan de richtlijnen voor digi-toegankelijkheid (WCAG)</w:t>
      </w:r>
      <w:r w:rsidR="00E87329">
        <w:rPr>
          <w:rFonts w:asciiTheme="minorHAnsi" w:eastAsiaTheme="minorEastAsia" w:hAnsiTheme="minorHAnsi" w:cstheme="minorBidi"/>
          <w:color w:val="333333"/>
          <w:szCs w:val="20"/>
        </w:rPr>
        <w:t>;</w:t>
      </w:r>
    </w:p>
    <w:p w14:paraId="2A4127C6" w14:textId="34171794" w:rsidR="2CE3EEC5" w:rsidRPr="001F0D23" w:rsidRDefault="7B3DB2D0" w:rsidP="00192454">
      <w:pPr>
        <w:pStyle w:val="Lijstalinea"/>
        <w:numPr>
          <w:ilvl w:val="0"/>
          <w:numId w:val="38"/>
        </w:numPr>
        <w:ind w:left="709"/>
        <w:rPr>
          <w:rFonts w:asciiTheme="minorHAnsi" w:eastAsiaTheme="minorEastAsia" w:hAnsiTheme="minorHAnsi" w:cstheme="minorBidi"/>
          <w:color w:val="333333"/>
          <w:szCs w:val="20"/>
        </w:rPr>
      </w:pPr>
      <w:r w:rsidRPr="001F0D23">
        <w:rPr>
          <w:rFonts w:asciiTheme="minorHAnsi" w:eastAsiaTheme="minorEastAsia" w:hAnsiTheme="minorHAnsi" w:cstheme="minorBidi"/>
          <w:color w:val="333333"/>
          <w:szCs w:val="20"/>
        </w:rPr>
        <w:t>Het WOZ-waardeloket is nu ook op mobiele apparaten zoals smartphones en tablets te gebruiken.</w:t>
      </w:r>
    </w:p>
    <w:p w14:paraId="3C6548F1" w14:textId="28E0A1E5" w:rsidR="3FFD5F9C" w:rsidRDefault="3FFD5F9C" w:rsidP="7B3DB2D0">
      <w:pPr>
        <w:rPr>
          <w:rFonts w:asciiTheme="minorHAnsi" w:eastAsiaTheme="minorEastAsia" w:hAnsiTheme="minorHAnsi" w:cstheme="minorBidi"/>
          <w:szCs w:val="20"/>
        </w:rPr>
      </w:pPr>
    </w:p>
    <w:p w14:paraId="42C411FE" w14:textId="00C0F341" w:rsidR="1775D30D" w:rsidRDefault="1775D30D" w:rsidP="7B3DB2D0">
      <w:pPr>
        <w:ind w:left="720"/>
        <w:rPr>
          <w:rFonts w:asciiTheme="minorHAnsi" w:eastAsiaTheme="minorEastAsia" w:hAnsiTheme="minorHAnsi" w:cstheme="minorBidi"/>
          <w:szCs w:val="20"/>
        </w:rPr>
      </w:pPr>
    </w:p>
    <w:p w14:paraId="6252E544" w14:textId="23D79A51" w:rsidR="392DD883" w:rsidRDefault="7B3DB2D0" w:rsidP="00192454">
      <w:pPr>
        <w:rPr>
          <w:rFonts w:asciiTheme="minorHAnsi" w:eastAsiaTheme="minorEastAsia" w:hAnsiTheme="minorHAnsi" w:cstheme="minorBidi"/>
          <w:i/>
          <w:iCs/>
          <w:szCs w:val="20"/>
        </w:rPr>
      </w:pPr>
      <w:r w:rsidRPr="00E87329">
        <w:rPr>
          <w:rFonts w:asciiTheme="minorHAnsi" w:eastAsiaTheme="minorEastAsia" w:hAnsiTheme="minorHAnsi" w:cstheme="minorBidi"/>
          <w:i/>
          <w:iCs/>
          <w:szCs w:val="20"/>
        </w:rPr>
        <w:t>Energielabel C Kantoren</w:t>
      </w:r>
    </w:p>
    <w:p w14:paraId="1E6A36BC" w14:textId="77777777" w:rsidR="003954D6" w:rsidRPr="003954D6" w:rsidRDefault="7B3DB2D0" w:rsidP="00192454">
      <w:pPr>
        <w:pStyle w:val="Lijstalinea"/>
        <w:numPr>
          <w:ilvl w:val="0"/>
          <w:numId w:val="39"/>
        </w:numPr>
        <w:ind w:left="709"/>
        <w:rPr>
          <w:rFonts w:asciiTheme="minorHAnsi" w:eastAsiaTheme="minorEastAsia" w:hAnsiTheme="minorHAnsi" w:cstheme="minorBidi"/>
          <w:color w:val="333333"/>
          <w:szCs w:val="20"/>
        </w:rPr>
      </w:pPr>
      <w:r w:rsidRPr="00C05448">
        <w:rPr>
          <w:rFonts w:asciiTheme="minorHAnsi" w:eastAsiaTheme="minorEastAsia" w:hAnsiTheme="minorHAnsi" w:cstheme="minorBidi"/>
          <w:color w:val="1D1D1B"/>
          <w:szCs w:val="20"/>
        </w:rPr>
        <w:t>Per 1 januari 2023 ben je als kantooreigenaar– en gebruiker verplicht om voor het kantoor een energielabel C of hoger te hebben. Heb je dan niet het juiste label? Dan mag je het kantoor niet meer als kantoor gebruiken. Wie dus nog niet in actie is gekomen zal de komende periode maatregelen moeten nemen om het kantoor ook na 1 januari 2023 als kantoor te kunnen blijven gebruiken. Het blijkt dat gemeenten voor wat betreft controle en handhaving hier divers mee omgaan.</w:t>
      </w:r>
    </w:p>
    <w:p w14:paraId="621DFC6B" w14:textId="4DC52005" w:rsidR="392DD883" w:rsidRDefault="7B3DB2D0" w:rsidP="00192454">
      <w:pPr>
        <w:pStyle w:val="Lijstalinea"/>
        <w:numPr>
          <w:ilvl w:val="0"/>
          <w:numId w:val="39"/>
        </w:numPr>
        <w:ind w:left="709"/>
        <w:rPr>
          <w:rFonts w:asciiTheme="minorHAnsi" w:eastAsiaTheme="minorEastAsia" w:hAnsiTheme="minorHAnsi" w:cstheme="minorBidi"/>
          <w:color w:val="333333"/>
          <w:szCs w:val="20"/>
        </w:rPr>
      </w:pPr>
      <w:r w:rsidRPr="00C05448">
        <w:rPr>
          <w:rFonts w:asciiTheme="minorHAnsi" w:eastAsiaTheme="minorEastAsia" w:hAnsiTheme="minorHAnsi" w:cstheme="minorBidi"/>
          <w:color w:val="333333"/>
          <w:szCs w:val="20"/>
        </w:rPr>
        <w:t>De verplichting geldt niet als:</w:t>
      </w:r>
    </w:p>
    <w:p w14:paraId="320DF2D2" w14:textId="4767E1B3" w:rsidR="392DD883" w:rsidRDefault="7B3DB2D0" w:rsidP="003F6126">
      <w:pPr>
        <w:pStyle w:val="Lijstalinea"/>
        <w:numPr>
          <w:ilvl w:val="0"/>
          <w:numId w:val="42"/>
        </w:numPr>
        <w:rPr>
          <w:rFonts w:asciiTheme="minorHAnsi" w:eastAsiaTheme="minorEastAsia" w:hAnsiTheme="minorHAnsi" w:cstheme="minorBidi"/>
          <w:color w:val="333333"/>
          <w:szCs w:val="20"/>
        </w:rPr>
      </w:pPr>
      <w:r w:rsidRPr="7B3DB2D0">
        <w:rPr>
          <w:rFonts w:asciiTheme="minorHAnsi" w:eastAsiaTheme="minorEastAsia" w:hAnsiTheme="minorHAnsi" w:cstheme="minorBidi"/>
          <w:color w:val="333333"/>
          <w:szCs w:val="20"/>
        </w:rPr>
        <w:t>de gebruiksoppervlakte van de kantoorfuncties (exclusief nevenfuncties) &lt;50% is van de totale gebruiksoppervlakte van het gebouw;</w:t>
      </w:r>
    </w:p>
    <w:p w14:paraId="6E66BD5C" w14:textId="7BB874D8" w:rsidR="392DD883" w:rsidRDefault="7B3DB2D0" w:rsidP="003F6126">
      <w:pPr>
        <w:pStyle w:val="Lijstalinea"/>
        <w:numPr>
          <w:ilvl w:val="0"/>
          <w:numId w:val="42"/>
        </w:numPr>
        <w:rPr>
          <w:rFonts w:asciiTheme="minorHAnsi" w:eastAsiaTheme="minorEastAsia" w:hAnsiTheme="minorHAnsi" w:cstheme="minorBidi"/>
          <w:color w:val="333333"/>
          <w:szCs w:val="20"/>
        </w:rPr>
      </w:pPr>
      <w:r w:rsidRPr="7B3DB2D0">
        <w:rPr>
          <w:rFonts w:asciiTheme="minorHAnsi" w:eastAsiaTheme="minorEastAsia" w:hAnsiTheme="minorHAnsi" w:cstheme="minorBidi"/>
          <w:color w:val="333333"/>
          <w:szCs w:val="20"/>
        </w:rPr>
        <w:t>de gebruiksoppervlakte van de kantoorfuncties en nevenfuncties daarvan in het gebouw &lt;100 m</w:t>
      </w:r>
      <w:r w:rsidRPr="7B3DB2D0">
        <w:rPr>
          <w:rFonts w:asciiTheme="minorHAnsi" w:eastAsiaTheme="minorEastAsia" w:hAnsiTheme="minorHAnsi" w:cstheme="minorBidi"/>
          <w:color w:val="333333"/>
          <w:szCs w:val="20"/>
          <w:vertAlign w:val="subscript"/>
        </w:rPr>
        <w:t>2</w:t>
      </w:r>
      <w:r w:rsidRPr="7B3DB2D0">
        <w:rPr>
          <w:rFonts w:asciiTheme="minorHAnsi" w:eastAsiaTheme="minorEastAsia" w:hAnsiTheme="minorHAnsi" w:cstheme="minorBidi"/>
          <w:color w:val="333333"/>
          <w:szCs w:val="20"/>
        </w:rPr>
        <w:t xml:space="preserve"> is;</w:t>
      </w:r>
    </w:p>
    <w:p w14:paraId="46E248A7" w14:textId="40CC4317" w:rsidR="392DD883" w:rsidRDefault="7B3DB2D0" w:rsidP="003F6126">
      <w:pPr>
        <w:pStyle w:val="Lijstalinea"/>
        <w:numPr>
          <w:ilvl w:val="0"/>
          <w:numId w:val="42"/>
        </w:numPr>
        <w:rPr>
          <w:rFonts w:asciiTheme="minorHAnsi" w:eastAsiaTheme="minorEastAsia" w:hAnsiTheme="minorHAnsi" w:cstheme="minorBidi"/>
          <w:color w:val="333333"/>
          <w:szCs w:val="20"/>
        </w:rPr>
      </w:pPr>
      <w:r w:rsidRPr="7B3DB2D0">
        <w:rPr>
          <w:rFonts w:asciiTheme="minorHAnsi" w:eastAsiaTheme="minorEastAsia" w:hAnsiTheme="minorHAnsi" w:cstheme="minorBidi"/>
          <w:color w:val="333333"/>
          <w:szCs w:val="20"/>
        </w:rPr>
        <w:t>het gaat om monumenten als bedoeld in de Erfgoedwet of aangewezen monumenten in een provinciale of gemeentelijke verordening;</w:t>
      </w:r>
    </w:p>
    <w:p w14:paraId="7A21C7BB" w14:textId="3F616E2F" w:rsidR="392DD883" w:rsidRDefault="7B3DB2D0" w:rsidP="003F6126">
      <w:pPr>
        <w:pStyle w:val="Lijstalinea"/>
        <w:numPr>
          <w:ilvl w:val="0"/>
          <w:numId w:val="42"/>
        </w:numPr>
        <w:rPr>
          <w:rFonts w:asciiTheme="minorHAnsi" w:eastAsiaTheme="minorEastAsia" w:hAnsiTheme="minorHAnsi" w:cstheme="minorBidi"/>
          <w:color w:val="333333"/>
          <w:szCs w:val="20"/>
        </w:rPr>
      </w:pPr>
      <w:r w:rsidRPr="7B3DB2D0">
        <w:rPr>
          <w:rFonts w:asciiTheme="minorHAnsi" w:eastAsiaTheme="minorEastAsia" w:hAnsiTheme="minorHAnsi" w:cstheme="minorBidi"/>
          <w:color w:val="333333"/>
          <w:szCs w:val="20"/>
        </w:rPr>
        <w:t>het gaat om een kantoorgebouw dat ten hoogste 2 jaar wordt gebruikt;</w:t>
      </w:r>
    </w:p>
    <w:p w14:paraId="14D4091E" w14:textId="0C944C0C" w:rsidR="392DD883" w:rsidRDefault="7B3DB2D0" w:rsidP="003F6126">
      <w:pPr>
        <w:pStyle w:val="Lijstalinea"/>
        <w:numPr>
          <w:ilvl w:val="0"/>
          <w:numId w:val="42"/>
        </w:numPr>
        <w:rPr>
          <w:rFonts w:asciiTheme="minorHAnsi" w:eastAsiaTheme="minorEastAsia" w:hAnsiTheme="minorHAnsi" w:cstheme="minorBidi"/>
          <w:color w:val="333333"/>
          <w:szCs w:val="20"/>
        </w:rPr>
      </w:pPr>
      <w:r w:rsidRPr="7B3DB2D0">
        <w:rPr>
          <w:rFonts w:asciiTheme="minorHAnsi" w:eastAsiaTheme="minorEastAsia" w:hAnsiTheme="minorHAnsi" w:cstheme="minorBidi"/>
          <w:color w:val="333333"/>
          <w:szCs w:val="20"/>
        </w:rPr>
        <w:t>het gaat om een kantoorgebouw dat wordt onteigend of aangekocht in het kader van de Onteigeningswet;</w:t>
      </w:r>
    </w:p>
    <w:p w14:paraId="04BEC6FB" w14:textId="4417132A" w:rsidR="392DD883" w:rsidRDefault="7B3DB2D0" w:rsidP="003F6126">
      <w:pPr>
        <w:pStyle w:val="Lijstalinea"/>
        <w:numPr>
          <w:ilvl w:val="0"/>
          <w:numId w:val="42"/>
        </w:numPr>
        <w:rPr>
          <w:rFonts w:asciiTheme="minorHAnsi" w:eastAsiaTheme="minorEastAsia" w:hAnsiTheme="minorHAnsi" w:cstheme="minorBidi"/>
          <w:color w:val="333333"/>
          <w:szCs w:val="20"/>
        </w:rPr>
      </w:pPr>
      <w:r w:rsidRPr="7B3DB2D0">
        <w:rPr>
          <w:rFonts w:asciiTheme="minorHAnsi" w:eastAsiaTheme="minorEastAsia" w:hAnsiTheme="minorHAnsi" w:cstheme="minorBidi"/>
          <w:color w:val="333333"/>
          <w:szCs w:val="20"/>
        </w:rPr>
        <w:t>het kantoorgebouw geen energie gebruikt om het binnenklimaat te regelen;</w:t>
      </w:r>
    </w:p>
    <w:p w14:paraId="64BAFFC5" w14:textId="2FEA2C0E" w:rsidR="392DD883" w:rsidRDefault="7B3DB2D0" w:rsidP="003F6126">
      <w:pPr>
        <w:pStyle w:val="Lijstalinea"/>
        <w:numPr>
          <w:ilvl w:val="0"/>
          <w:numId w:val="42"/>
        </w:numPr>
        <w:rPr>
          <w:rFonts w:asciiTheme="minorHAnsi" w:eastAsiaTheme="minorEastAsia" w:hAnsiTheme="minorHAnsi" w:cstheme="minorBidi"/>
          <w:color w:val="333333"/>
          <w:szCs w:val="20"/>
        </w:rPr>
      </w:pPr>
      <w:r w:rsidRPr="7B3DB2D0">
        <w:rPr>
          <w:rFonts w:asciiTheme="minorHAnsi" w:eastAsiaTheme="minorEastAsia" w:hAnsiTheme="minorHAnsi" w:cstheme="minorBidi"/>
          <w:color w:val="333333"/>
          <w:szCs w:val="20"/>
        </w:rPr>
        <w:t>de maatregelen die nodig zijn om energielabel C te realiseren, een terugverdientijd hebben van meer dan 10 jaar.</w:t>
      </w:r>
    </w:p>
    <w:p w14:paraId="0B960E01" w14:textId="4DA23198" w:rsidR="6F850257" w:rsidRDefault="6F850257" w:rsidP="7B3DB2D0">
      <w:pPr>
        <w:rPr>
          <w:rFonts w:asciiTheme="minorHAnsi" w:eastAsiaTheme="minorEastAsia" w:hAnsiTheme="minorHAnsi" w:cstheme="minorBidi"/>
          <w:szCs w:val="20"/>
          <w:highlight w:val="yellow"/>
        </w:rPr>
      </w:pPr>
    </w:p>
    <w:p w14:paraId="7F108360" w14:textId="7EA7710E" w:rsidR="16FBBEFD" w:rsidRPr="007D4FC2" w:rsidRDefault="7B3DB2D0" w:rsidP="00192454">
      <w:pPr>
        <w:rPr>
          <w:rFonts w:asciiTheme="minorHAnsi" w:eastAsiaTheme="minorEastAsia" w:hAnsiTheme="minorHAnsi" w:cstheme="minorBidi"/>
          <w:i/>
          <w:iCs/>
          <w:szCs w:val="20"/>
        </w:rPr>
      </w:pPr>
      <w:r w:rsidRPr="007D4FC2">
        <w:rPr>
          <w:rFonts w:asciiTheme="minorHAnsi" w:eastAsiaTheme="minorEastAsia" w:hAnsiTheme="minorHAnsi" w:cstheme="minorBidi"/>
          <w:i/>
          <w:iCs/>
          <w:szCs w:val="20"/>
        </w:rPr>
        <w:t>IM WOZ 3.20 (informatiemodel WOZ)</w:t>
      </w:r>
    </w:p>
    <w:p w14:paraId="28E08FA1" w14:textId="067E7F42" w:rsidR="21DDD7AA" w:rsidRDefault="767270E9" w:rsidP="767270E9">
      <w:pPr>
        <w:rPr>
          <w:rFonts w:asciiTheme="minorHAnsi" w:eastAsiaTheme="minorEastAsia" w:hAnsiTheme="minorHAnsi" w:cstheme="minorBidi"/>
        </w:rPr>
      </w:pPr>
      <w:r w:rsidRPr="3B077BEA">
        <w:rPr>
          <w:rFonts w:asciiTheme="minorHAnsi" w:eastAsiaTheme="minorEastAsia" w:hAnsiTheme="minorHAnsi" w:cstheme="minorBidi"/>
        </w:rPr>
        <w:t xml:space="preserve">Het informatiemodel WOZ, IMWOZ,  geeft de inhoudelijke specificaties van de WOZ-administraties en daarmee de definitie van de basisregistratie WOZ, de specificaties van de inhoud en de specificaties van de gegevens die gemeenten en uitvoeringsorganisaties vastleggen om de WOZ goed te kunnen uitvoeren.  Daarom is het IMWOZ-model ook erg belangrijk voor de afnemers, in verband welke gevolgen het IMWOZ-model heeft op de </w:t>
      </w:r>
      <w:r w:rsidRPr="3B077BEA">
        <w:rPr>
          <w:rFonts w:asciiTheme="minorHAnsi" w:eastAsiaTheme="minorEastAsia" w:hAnsiTheme="minorHAnsi" w:cstheme="minorBidi"/>
        </w:rPr>
        <w:lastRenderedPageBreak/>
        <w:t>inhoud van de Landelijke Voorziening WOZ (LV WOZ), maar ook voor alle gegevens die gemeenten en uitvoeringsorganisaties gebruiken. Dus ook objectkenmerken voor de taxaties, marktgegevens met de analyseresultaten en gegevens over bezwaar en beroep.</w:t>
      </w:r>
    </w:p>
    <w:p w14:paraId="68E24C85" w14:textId="7262D1BC" w:rsidR="21DDD7AA" w:rsidRDefault="7B3DB2D0" w:rsidP="00192454">
      <w:pPr>
        <w:rPr>
          <w:rFonts w:asciiTheme="minorHAnsi" w:eastAsiaTheme="minorEastAsia" w:hAnsiTheme="minorHAnsi" w:cstheme="minorBidi"/>
          <w:szCs w:val="20"/>
        </w:rPr>
      </w:pPr>
      <w:r w:rsidRPr="7B3DB2D0">
        <w:rPr>
          <w:rFonts w:asciiTheme="minorHAnsi" w:eastAsiaTheme="minorEastAsia" w:hAnsiTheme="minorHAnsi" w:cstheme="minorBidi"/>
          <w:szCs w:val="20"/>
        </w:rPr>
        <w:t>Er zal sprake zijn van een gefaseerde invoering van het IMWOZ-model.</w:t>
      </w:r>
    </w:p>
    <w:p w14:paraId="00968768" w14:textId="6D3ADBB1" w:rsidR="21DDD7AA" w:rsidRDefault="767270E9" w:rsidP="767270E9">
      <w:pPr>
        <w:rPr>
          <w:rFonts w:asciiTheme="minorHAnsi" w:eastAsiaTheme="minorEastAsia" w:hAnsiTheme="minorHAnsi" w:cstheme="minorBidi"/>
        </w:rPr>
      </w:pPr>
      <w:r w:rsidRPr="767270E9">
        <w:rPr>
          <w:rFonts w:asciiTheme="minorHAnsi" w:eastAsiaTheme="minorEastAsia" w:hAnsiTheme="minorHAnsi" w:cstheme="minorBidi"/>
        </w:rPr>
        <w:t>Fase 1 De belangrijkste en ook meest complexe wijziging aan de LV WOZ gaat over het anders modeleren van de gegevens over belanghebbenden. De huidige modelering geeft bij veel organisaties problemen, waardoor de gegevens van belanghebbenden in de LV WOZ niet altijd correct of actueel zijn. Dat is een probleem voor afnemers, maar ook voor het tonen van gegevens in MijnOverheid. De wijzigingen van gegevens worden nu als prioriteit opgepakt.</w:t>
      </w:r>
    </w:p>
    <w:p w14:paraId="09FEA24C" w14:textId="50AACA0B" w:rsidR="767270E9" w:rsidRDefault="767270E9" w:rsidP="767270E9">
      <w:pPr>
        <w:rPr>
          <w:rFonts w:asciiTheme="minorHAnsi" w:eastAsiaTheme="minorEastAsia" w:hAnsiTheme="minorHAnsi" w:cstheme="minorBidi"/>
        </w:rPr>
      </w:pPr>
      <w:r w:rsidRPr="767270E9">
        <w:rPr>
          <w:rFonts w:asciiTheme="minorHAnsi" w:eastAsiaTheme="minorEastAsia" w:hAnsiTheme="minorHAnsi" w:cstheme="minorBidi"/>
        </w:rPr>
        <w:t>Voor de stappen die na fase 1 gezet gaan worden, is nog geen planning of prioritering gemaakt. Dat hangt samen met het feit dat vervolgstappen vooral afgestemd zullen zijn om wijzigingen in de omgeving, zoals het invoeren van de Samenhangende Objectenregistratie (SOR) en de invoering van de architectuurprincipes van common ground. Voor de planning van deze ontwikkelingen is het WOZ-domein afhankelijk van de voortgang op de genoemde onderwerpen.</w:t>
      </w:r>
    </w:p>
    <w:p w14:paraId="26CB404C" w14:textId="5D5873F0" w:rsidR="21DDD7AA" w:rsidRDefault="21DDD7AA" w:rsidP="00192454">
      <w:pPr>
        <w:rPr>
          <w:rFonts w:asciiTheme="minorHAnsi" w:eastAsiaTheme="minorEastAsia" w:hAnsiTheme="minorHAnsi" w:cstheme="minorBidi"/>
          <w:szCs w:val="20"/>
          <w:highlight w:val="yellow"/>
        </w:rPr>
      </w:pPr>
    </w:p>
    <w:p w14:paraId="3961595E" w14:textId="522D3424" w:rsidR="16FBBEFD" w:rsidRDefault="7B3DB2D0" w:rsidP="00192454">
      <w:pPr>
        <w:rPr>
          <w:rFonts w:asciiTheme="minorHAnsi" w:eastAsiaTheme="minorEastAsia" w:hAnsiTheme="minorHAnsi" w:cstheme="minorBidi"/>
          <w:i/>
          <w:iCs/>
          <w:szCs w:val="20"/>
        </w:rPr>
      </w:pPr>
      <w:r w:rsidRPr="00461491">
        <w:rPr>
          <w:rFonts w:asciiTheme="minorHAnsi" w:eastAsiaTheme="minorEastAsia" w:hAnsiTheme="minorHAnsi" w:cstheme="minorBidi"/>
          <w:i/>
          <w:iCs/>
          <w:szCs w:val="20"/>
        </w:rPr>
        <w:t>Aangepast tarief OZB sportaccommodaties nader onderzoek</w:t>
      </w:r>
    </w:p>
    <w:p w14:paraId="311F00B1" w14:textId="3BBC5209" w:rsidR="21DDD7AA" w:rsidRDefault="0035131D" w:rsidP="00461491">
      <w:pPr>
        <w:rPr>
          <w:rFonts w:asciiTheme="minorHAnsi" w:eastAsiaTheme="minorEastAsia" w:hAnsiTheme="minorHAnsi" w:cstheme="minorBidi"/>
          <w:szCs w:val="20"/>
        </w:rPr>
      </w:pPr>
      <w:r w:rsidRPr="7B3DB2D0">
        <w:rPr>
          <w:rFonts w:asciiTheme="minorHAnsi" w:eastAsiaTheme="minorEastAsia" w:hAnsiTheme="minorHAnsi" w:cstheme="minorBidi"/>
          <w:szCs w:val="20"/>
        </w:rPr>
        <w:t>Sportaccommodaties</w:t>
      </w:r>
      <w:r w:rsidR="7B3DB2D0" w:rsidRPr="7B3DB2D0">
        <w:rPr>
          <w:rFonts w:asciiTheme="minorHAnsi" w:eastAsiaTheme="minorEastAsia" w:hAnsiTheme="minorHAnsi" w:cstheme="minorBidi"/>
          <w:szCs w:val="20"/>
        </w:rPr>
        <w:t xml:space="preserve"> en dorpshuizen een lager OZB-tarief in rekening brengen is en blijft erg lastig voor gemeenten. Een (gedeeltelijke) teruggave van de onroerendezaakbelasting via subsidie is volgens Binnenlandse Zaken voorlopig een werkbaar alternatief. De minister pleit ervoor het voorbeeld van enkele gemeenten te volgen die positieve ervaringen hebben met subsidies voor een -al dan niet gedeeltelijke- teruggave van de OZB voor</w:t>
      </w:r>
      <w:r>
        <w:rPr>
          <w:rFonts w:asciiTheme="minorHAnsi" w:eastAsiaTheme="minorEastAsia" w:hAnsiTheme="minorHAnsi" w:cstheme="minorBidi"/>
          <w:szCs w:val="20"/>
        </w:rPr>
        <w:t xml:space="preserve"> i</w:t>
      </w:r>
      <w:r w:rsidR="7B3DB2D0" w:rsidRPr="7B3DB2D0">
        <w:rPr>
          <w:rFonts w:asciiTheme="minorHAnsi" w:eastAsiaTheme="minorEastAsia" w:hAnsiTheme="minorHAnsi" w:cstheme="minorBidi"/>
          <w:szCs w:val="20"/>
        </w:rPr>
        <w:t>nstellingen van een sociaal belang.” Die gemeenten hebben aangegeven dat subsidies volgens hen vooralsnog voldoende en meer gerichte mogelijkheden bieden om bij te dragen aan het beoogde doel: vermindering van de lasten.</w:t>
      </w:r>
    </w:p>
    <w:p w14:paraId="43DFE4FB" w14:textId="0503A274" w:rsidR="21DDD7AA" w:rsidRDefault="7B3DB2D0" w:rsidP="00192454">
      <w:pPr>
        <w:rPr>
          <w:rFonts w:asciiTheme="minorHAnsi" w:eastAsiaTheme="minorEastAsia" w:hAnsiTheme="minorHAnsi" w:cstheme="minorBidi"/>
          <w:szCs w:val="20"/>
        </w:rPr>
      </w:pPr>
      <w:r w:rsidRPr="7B3DB2D0">
        <w:rPr>
          <w:rFonts w:asciiTheme="minorHAnsi" w:eastAsiaTheme="minorEastAsia" w:hAnsiTheme="minorHAnsi" w:cstheme="minorBidi"/>
          <w:szCs w:val="20"/>
        </w:rPr>
        <w:t>In het verleden is ook gesproken met de VNG en enkele gemeenten over het invoeren van een woningtarief.</w:t>
      </w:r>
    </w:p>
    <w:p w14:paraId="32A6AD86" w14:textId="4BB6AA78" w:rsidR="21DDD7AA" w:rsidRDefault="7B3DB2D0" w:rsidP="00192454">
      <w:pPr>
        <w:rPr>
          <w:rFonts w:asciiTheme="minorHAnsi" w:eastAsiaTheme="minorEastAsia" w:hAnsiTheme="minorHAnsi" w:cstheme="minorBidi"/>
          <w:szCs w:val="20"/>
        </w:rPr>
      </w:pPr>
      <w:r w:rsidRPr="7B3DB2D0">
        <w:rPr>
          <w:rFonts w:asciiTheme="minorHAnsi" w:eastAsiaTheme="minorEastAsia" w:hAnsiTheme="minorHAnsi" w:cstheme="minorBidi"/>
          <w:szCs w:val="20"/>
        </w:rPr>
        <w:t>In totaal hebben 10 vertegenwoordigers van grotere en kleinere gemeenten duidelijk gemaakt hoe groot de behoefte aan die extra fiscale mogelijkheid is, maar ook welke praktische uitvoerings-belemmeringen daaraan vastzitten. Het oplossen daarvan blijkt ingewikkeld. Dat komt met name door het feit dat de ozb-wetgeving gericht is op het object (gebouw) en de specifieke regeling voor sportverenigingen uitgaat van het subject (de belastingplichtige sportvereniging). Binnen de Gemeentewet is dat volgens de minister "niet eenvoudig”</w:t>
      </w:r>
      <w:r w:rsidR="0035131D">
        <w:rPr>
          <w:rFonts w:asciiTheme="minorHAnsi" w:eastAsiaTheme="minorEastAsia" w:hAnsiTheme="minorHAnsi" w:cstheme="minorBidi"/>
          <w:szCs w:val="20"/>
        </w:rPr>
        <w:t xml:space="preserve"> </w:t>
      </w:r>
      <w:r w:rsidRPr="7B3DB2D0">
        <w:rPr>
          <w:rFonts w:asciiTheme="minorHAnsi" w:eastAsiaTheme="minorEastAsia" w:hAnsiTheme="minorHAnsi" w:cstheme="minorBidi"/>
          <w:szCs w:val="20"/>
        </w:rPr>
        <w:t>op te lossen.</w:t>
      </w:r>
    </w:p>
    <w:p w14:paraId="2B88EA08" w14:textId="378FBBCC" w:rsidR="21DDD7AA" w:rsidRDefault="7B3DB2D0" w:rsidP="00192454">
      <w:pPr>
        <w:rPr>
          <w:rFonts w:asciiTheme="minorHAnsi" w:eastAsiaTheme="minorEastAsia" w:hAnsiTheme="minorHAnsi" w:cstheme="minorBidi"/>
          <w:szCs w:val="20"/>
        </w:rPr>
      </w:pPr>
      <w:r w:rsidRPr="7B3DB2D0">
        <w:rPr>
          <w:rFonts w:asciiTheme="minorHAnsi" w:eastAsiaTheme="minorEastAsia" w:hAnsiTheme="minorHAnsi" w:cstheme="minorBidi"/>
          <w:szCs w:val="20"/>
        </w:rPr>
        <w:t>De minister heeft daarom opdracht gegeven tot een extern onderzoek om na te gaan of en hoe de uitvoerings-en toepassingsvraagstukken kunnen worden aangepakt. Aan de hand van de uitkomsten van dat onderzoek, verwacht in de eerste helft van 2023, zal bekeken of en hoe de Wet (en/of Algemene Maatregel van Bestuur) moet worden aangepast.</w:t>
      </w:r>
    </w:p>
    <w:p w14:paraId="4798A77F" w14:textId="74E533C1" w:rsidR="21DDD7AA" w:rsidRDefault="21DDD7AA" w:rsidP="7B3DB2D0">
      <w:pPr>
        <w:ind w:left="720"/>
        <w:rPr>
          <w:rFonts w:asciiTheme="minorHAnsi" w:eastAsiaTheme="minorEastAsia" w:hAnsiTheme="minorHAnsi" w:cstheme="minorBidi"/>
          <w:szCs w:val="20"/>
        </w:rPr>
      </w:pPr>
    </w:p>
    <w:p w14:paraId="6C463AAB" w14:textId="09525180" w:rsidR="68A22FF5" w:rsidRPr="006D281F" w:rsidRDefault="7B3DB2D0" w:rsidP="006D281F">
      <w:pPr>
        <w:rPr>
          <w:rFonts w:asciiTheme="minorHAnsi" w:eastAsiaTheme="minorEastAsia" w:hAnsiTheme="minorHAnsi" w:cstheme="minorBidi"/>
          <w:i/>
          <w:iCs/>
          <w:szCs w:val="20"/>
        </w:rPr>
      </w:pPr>
      <w:r w:rsidRPr="006D281F">
        <w:rPr>
          <w:rFonts w:asciiTheme="minorHAnsi" w:eastAsiaTheme="minorEastAsia" w:hAnsiTheme="minorHAnsi" w:cstheme="minorBidi"/>
          <w:i/>
          <w:iCs/>
          <w:szCs w:val="20"/>
        </w:rPr>
        <w:t>Vervolg WODC rapport en kabinets reactie (kamerbrief 11 maart 2022)</w:t>
      </w:r>
    </w:p>
    <w:p w14:paraId="6C069FC5" w14:textId="33CB0C3A" w:rsidR="6F850257" w:rsidRDefault="7B3DB2D0" w:rsidP="006D281F">
      <w:pPr>
        <w:rPr>
          <w:rFonts w:asciiTheme="minorHAnsi" w:eastAsiaTheme="minorEastAsia" w:hAnsiTheme="minorHAnsi" w:cstheme="minorBidi"/>
          <w:szCs w:val="20"/>
        </w:rPr>
      </w:pPr>
      <w:r w:rsidRPr="7B3DB2D0">
        <w:rPr>
          <w:rFonts w:asciiTheme="minorHAnsi" w:eastAsiaTheme="minorEastAsia" w:hAnsiTheme="minorHAnsi" w:cstheme="minorBidi"/>
          <w:szCs w:val="20"/>
        </w:rPr>
        <w:t>Het Wetenschappelijk Onderzoek- en Documentatiecentrum (WODC) heeft vorig jaar de werkwijze en het verdienmodel van NcNp-bedrijven onderzocht. De staatssecretaris heeft laten weten dat hij enkele vraagtekens zet bij enkele conclusies uit het rapport. Zowel over de bezwarenafhandeling als de modelmatige waardebepaling trekt de staatssecretaris een andere conclusie dan het WODC.  Naast een inhoudelijke reactie stelt de staatssecretaris de Kamer op de hoogte van het traject waarin stakeholders bezien hoe het WOZ-proces verbeterd kan worden.</w:t>
      </w:r>
    </w:p>
    <w:p w14:paraId="58B171DB" w14:textId="1599D6F8" w:rsidR="6F850257" w:rsidRDefault="767270E9" w:rsidP="767270E9">
      <w:pPr>
        <w:pStyle w:val="Lijstalinea"/>
        <w:numPr>
          <w:ilvl w:val="0"/>
          <w:numId w:val="2"/>
        </w:numPr>
        <w:ind w:left="0" w:firstLine="0"/>
        <w:rPr>
          <w:rFonts w:asciiTheme="minorHAnsi" w:eastAsiaTheme="minorEastAsia" w:hAnsiTheme="minorHAnsi" w:cstheme="minorBidi"/>
        </w:rPr>
      </w:pPr>
      <w:r w:rsidRPr="767270E9">
        <w:rPr>
          <w:rFonts w:asciiTheme="minorHAnsi" w:eastAsiaTheme="minorEastAsia" w:hAnsiTheme="minorHAnsi" w:cstheme="minorBidi"/>
        </w:rPr>
        <w:t xml:space="preserve">Werken aan transparantie en vertrouwen door burgers te betrekken in de </w:t>
      </w:r>
      <w:r w:rsidR="7B3DB2D0">
        <w:tab/>
      </w:r>
      <w:r w:rsidR="7B3DB2D0">
        <w:tab/>
      </w:r>
      <w:r w:rsidR="7B3DB2D0">
        <w:tab/>
      </w:r>
      <w:r w:rsidRPr="767270E9">
        <w:rPr>
          <w:rFonts w:asciiTheme="minorHAnsi" w:eastAsiaTheme="minorEastAsia" w:hAnsiTheme="minorHAnsi" w:cstheme="minorBidi"/>
        </w:rPr>
        <w:t>t</w:t>
      </w:r>
      <w:r w:rsidR="7B3DB2D0">
        <w:tab/>
      </w:r>
      <w:r w:rsidRPr="767270E9">
        <w:rPr>
          <w:rFonts w:asciiTheme="minorHAnsi" w:eastAsiaTheme="minorEastAsia" w:hAnsiTheme="minorHAnsi" w:cstheme="minorBidi"/>
        </w:rPr>
        <w:t>totstandkoming van de WOZ-waarde van woningen.</w:t>
      </w:r>
    </w:p>
    <w:p w14:paraId="5245C190" w14:textId="72AF40B5" w:rsidR="6F850257" w:rsidRDefault="7B3DB2D0" w:rsidP="006D281F">
      <w:pPr>
        <w:pStyle w:val="Lijstalinea"/>
        <w:numPr>
          <w:ilvl w:val="0"/>
          <w:numId w:val="2"/>
        </w:numPr>
        <w:ind w:left="0" w:firstLine="0"/>
        <w:rPr>
          <w:rFonts w:asciiTheme="minorHAnsi" w:eastAsiaTheme="minorEastAsia" w:hAnsiTheme="minorHAnsi" w:cstheme="minorBidi"/>
          <w:szCs w:val="20"/>
        </w:rPr>
      </w:pPr>
      <w:r w:rsidRPr="7B3DB2D0">
        <w:rPr>
          <w:rFonts w:asciiTheme="minorHAnsi" w:eastAsiaTheme="minorEastAsia" w:hAnsiTheme="minorHAnsi" w:cstheme="minorBidi"/>
          <w:szCs w:val="20"/>
        </w:rPr>
        <w:t>Bieden van informeel contact met burgers bij een (mogelijk) onjuiste WOZ-waarde.</w:t>
      </w:r>
    </w:p>
    <w:p w14:paraId="108A4441" w14:textId="6E3772C6" w:rsidR="6F850257" w:rsidRDefault="7B3DB2D0" w:rsidP="006D281F">
      <w:pPr>
        <w:pStyle w:val="Lijstalinea"/>
        <w:numPr>
          <w:ilvl w:val="0"/>
          <w:numId w:val="2"/>
        </w:numPr>
        <w:ind w:left="0" w:firstLine="0"/>
        <w:rPr>
          <w:rFonts w:asciiTheme="minorHAnsi" w:eastAsiaTheme="minorEastAsia" w:hAnsiTheme="minorHAnsi" w:cstheme="minorBidi"/>
          <w:szCs w:val="20"/>
        </w:rPr>
      </w:pPr>
      <w:r w:rsidRPr="7B3DB2D0">
        <w:rPr>
          <w:rFonts w:asciiTheme="minorHAnsi" w:eastAsiaTheme="minorEastAsia" w:hAnsiTheme="minorHAnsi" w:cstheme="minorBidi"/>
          <w:szCs w:val="20"/>
        </w:rPr>
        <w:t>Ondersteunen van gemeenten bij de afhandeling van bezwaren.</w:t>
      </w:r>
    </w:p>
    <w:p w14:paraId="6B69B4CA" w14:textId="520620F3" w:rsidR="6F850257" w:rsidRDefault="7B3DB2D0" w:rsidP="006D281F">
      <w:pPr>
        <w:rPr>
          <w:rFonts w:asciiTheme="minorHAnsi" w:eastAsiaTheme="minorEastAsia" w:hAnsiTheme="minorHAnsi" w:cstheme="minorBidi"/>
          <w:szCs w:val="20"/>
        </w:rPr>
      </w:pPr>
      <w:r w:rsidRPr="7B3DB2D0">
        <w:rPr>
          <w:rFonts w:asciiTheme="minorHAnsi" w:eastAsiaTheme="minorEastAsia" w:hAnsiTheme="minorHAnsi" w:cstheme="minorBidi"/>
          <w:szCs w:val="20"/>
        </w:rPr>
        <w:t>Het tweede deel van de brief gaat over vergoeding van proceskosten in het bestuursrecht. De staatssecretaris kondigt een nieuw onderzoek aan naar het oneigenlijk gebruik van procedures en mogelijke oplossingen daartegen in de wet- en regelgeving.</w:t>
      </w:r>
    </w:p>
    <w:p w14:paraId="502AE4F1" w14:textId="77777777" w:rsidR="006C5E38" w:rsidRDefault="006C5E38" w:rsidP="006D281F">
      <w:pPr>
        <w:rPr>
          <w:rFonts w:asciiTheme="minorHAnsi" w:eastAsiaTheme="minorEastAsia" w:hAnsiTheme="minorHAnsi" w:cstheme="minorBidi"/>
          <w:szCs w:val="20"/>
        </w:rPr>
      </w:pPr>
    </w:p>
    <w:p w14:paraId="53C9E227" w14:textId="592CD10C" w:rsidR="6F850257" w:rsidRDefault="7B3DB2D0" w:rsidP="006C5E38">
      <w:pPr>
        <w:rPr>
          <w:rFonts w:eastAsiaTheme="minorEastAsia"/>
        </w:rPr>
      </w:pPr>
      <w:r w:rsidRPr="7B3DB2D0">
        <w:rPr>
          <w:rFonts w:eastAsiaTheme="minorEastAsia"/>
        </w:rPr>
        <w:t>Meer informatie</w:t>
      </w:r>
    </w:p>
    <w:p w14:paraId="7FDB8837" w14:textId="5CF8C682" w:rsidR="6F850257" w:rsidRDefault="00AD006A" w:rsidP="7B3DB2D0">
      <w:pPr>
        <w:pStyle w:val="Lijstalinea"/>
        <w:numPr>
          <w:ilvl w:val="0"/>
          <w:numId w:val="4"/>
        </w:numPr>
        <w:rPr>
          <w:rFonts w:asciiTheme="minorHAnsi" w:eastAsiaTheme="minorEastAsia" w:hAnsiTheme="minorHAnsi" w:cstheme="minorBidi"/>
          <w:color w:val="004488"/>
          <w:szCs w:val="20"/>
          <w:u w:val="single"/>
        </w:rPr>
      </w:pPr>
      <w:hyperlink r:id="rId19">
        <w:r w:rsidR="7B3DB2D0" w:rsidRPr="7B3DB2D0">
          <w:rPr>
            <w:rStyle w:val="Hyperlink"/>
            <w:rFonts w:asciiTheme="minorHAnsi" w:eastAsiaTheme="minorEastAsia" w:hAnsiTheme="minorHAnsi" w:cstheme="minorBidi"/>
            <w:szCs w:val="20"/>
          </w:rPr>
          <w:t>Kamerbrief met aanvullende reactie op WODC-rapport</w:t>
        </w:r>
      </w:hyperlink>
    </w:p>
    <w:p w14:paraId="7E88B2AF" w14:textId="4EE440AB" w:rsidR="6F850257" w:rsidRDefault="00AD006A" w:rsidP="7B3DB2D0">
      <w:pPr>
        <w:pStyle w:val="Lijstalinea"/>
        <w:numPr>
          <w:ilvl w:val="0"/>
          <w:numId w:val="4"/>
        </w:numPr>
        <w:rPr>
          <w:rFonts w:asciiTheme="minorHAnsi" w:eastAsiaTheme="minorEastAsia" w:hAnsiTheme="minorHAnsi" w:cstheme="minorBidi"/>
          <w:color w:val="1A1A1A"/>
          <w:szCs w:val="20"/>
        </w:rPr>
      </w:pPr>
      <w:hyperlink r:id="rId20">
        <w:r w:rsidR="7B3DB2D0" w:rsidRPr="7B3DB2D0">
          <w:rPr>
            <w:rStyle w:val="Hyperlink"/>
            <w:rFonts w:asciiTheme="minorHAnsi" w:eastAsiaTheme="minorEastAsia" w:hAnsiTheme="minorHAnsi" w:cstheme="minorBidi"/>
            <w:szCs w:val="20"/>
          </w:rPr>
          <w:t>Onderzoek naar no cure no pay-bedrijven die WOZ aanvechten</w:t>
        </w:r>
      </w:hyperlink>
      <w:r w:rsidR="7B3DB2D0" w:rsidRPr="7B3DB2D0">
        <w:rPr>
          <w:rFonts w:asciiTheme="minorHAnsi" w:eastAsiaTheme="minorEastAsia" w:hAnsiTheme="minorHAnsi" w:cstheme="minorBidi"/>
          <w:color w:val="1A1A1A"/>
          <w:szCs w:val="20"/>
        </w:rPr>
        <w:t xml:space="preserve"> (15 februari 2021)</w:t>
      </w:r>
    </w:p>
    <w:p w14:paraId="4CEF2986" w14:textId="6C9A7CD6" w:rsidR="6F850257" w:rsidRDefault="6F850257" w:rsidP="7B3DB2D0">
      <w:pPr>
        <w:rPr>
          <w:rFonts w:asciiTheme="minorHAnsi" w:eastAsiaTheme="minorEastAsia" w:hAnsiTheme="minorHAnsi" w:cstheme="minorBidi"/>
          <w:szCs w:val="20"/>
        </w:rPr>
      </w:pPr>
    </w:p>
    <w:p w14:paraId="2FE71E1D" w14:textId="77777777" w:rsidR="00DF74F2" w:rsidRDefault="00DF74F2" w:rsidP="00DF74F2">
      <w:pPr>
        <w:pStyle w:val="Kop2"/>
      </w:pPr>
      <w:bookmarkStart w:id="29" w:name="_Toc121747478"/>
      <w:r>
        <w:lastRenderedPageBreak/>
        <w:t>4.4 Klantcontact</w:t>
      </w:r>
      <w:bookmarkEnd w:id="29"/>
    </w:p>
    <w:p w14:paraId="24B13F9A" w14:textId="1D4FBC15" w:rsidR="00DF74F2" w:rsidRPr="00DF74F2" w:rsidRDefault="7B3DB2D0" w:rsidP="3B077BEA">
      <w:pPr>
        <w:rPr>
          <w:rFonts w:eastAsia="Calibri" w:cs="Calibri"/>
        </w:rPr>
      </w:pPr>
      <w:r w:rsidRPr="3B077BEA">
        <w:rPr>
          <w:rFonts w:eastAsia="Calibri" w:cs="Calibri"/>
          <w:color w:val="000000" w:themeColor="text1"/>
        </w:rPr>
        <w:t xml:space="preserve">Dienstverlening staat in dienst van de burgers en bedrijven in het werkgebied van BghU, ten behoeve van haar deelnemers. Dienstverlening is het eerste aanspreekpunt voor de klant, wij stellen de klant centraal, wij helpen de klant efficiënt en wij willen daar transparant in zijn. Dienstverlening heeft als taak om de opgelegde aanslagen te innen en foutieve aanslagen te corrigeren. Voor de komende jaren </w:t>
      </w:r>
      <w:r w:rsidRPr="3B077BEA">
        <w:rPr>
          <w:rFonts w:eastAsia="Calibri" w:cs="Calibri"/>
        </w:rPr>
        <w:t xml:space="preserve">stellen wij de klantinteractie centraal in ons handelen en wij leggen daarbij de koppeling met de kernwaarden van onze belastingsamenwerking; </w:t>
      </w:r>
      <w:r w:rsidRPr="3B077BEA">
        <w:rPr>
          <w:rFonts w:eastAsia="Calibri" w:cs="Calibri"/>
          <w:u w:val="single"/>
        </w:rPr>
        <w:t>k</w:t>
      </w:r>
      <w:r w:rsidRPr="3B077BEA">
        <w:rPr>
          <w:rFonts w:eastAsia="Calibri" w:cs="Calibri"/>
        </w:rPr>
        <w:t xml:space="preserve">lantgericht, </w:t>
      </w:r>
      <w:r w:rsidRPr="3B077BEA">
        <w:rPr>
          <w:rFonts w:eastAsia="Calibri" w:cs="Calibri"/>
          <w:u w:val="single"/>
        </w:rPr>
        <w:t>e</w:t>
      </w:r>
      <w:r w:rsidRPr="3B077BEA">
        <w:rPr>
          <w:rFonts w:eastAsia="Calibri" w:cs="Calibri"/>
        </w:rPr>
        <w:t xml:space="preserve">fficiënt, </w:t>
      </w:r>
      <w:r w:rsidRPr="3B077BEA">
        <w:rPr>
          <w:rFonts w:eastAsia="Calibri" w:cs="Calibri"/>
          <w:u w:val="single"/>
        </w:rPr>
        <w:t>r</w:t>
      </w:r>
      <w:r w:rsidRPr="3B077BEA">
        <w:rPr>
          <w:rFonts w:eastAsia="Calibri" w:cs="Calibri"/>
        </w:rPr>
        <w:t xml:space="preserve">esultaatgericht, </w:t>
      </w:r>
      <w:r w:rsidRPr="3B077BEA">
        <w:rPr>
          <w:rFonts w:eastAsia="Calibri" w:cs="Calibri"/>
          <w:u w:val="single"/>
        </w:rPr>
        <w:t>s</w:t>
      </w:r>
      <w:r w:rsidRPr="3B077BEA">
        <w:rPr>
          <w:rFonts w:eastAsia="Calibri" w:cs="Calibri"/>
        </w:rPr>
        <w:t xml:space="preserve">amenwerken. </w:t>
      </w:r>
      <w:r w:rsidR="04345A9F">
        <w:br/>
      </w:r>
      <w:r w:rsidRPr="3B077BEA">
        <w:rPr>
          <w:rFonts w:eastAsia="Calibri" w:cs="Calibri"/>
        </w:rPr>
        <w:t xml:space="preserve">Een belangrijk aspect daarbij is het persoonlijk contact. Daarom willen we de contactmogelijkheden optimaliseren, met name hoe en op de momenten dat burgers, instellingen en bedrijven dat wensen. Op dat vlak zetten we dus in op een goed klantportaal en goed bereikbare kanalen. Tevens gaan we inzetten op proactief contact met belanghebbenden om te voorkomen dat men onnodig in bezwaar hoeft te gaan (denk aan de trajecten met de NCNP-bureaus waar veel mensen gebruik van maken), om te voorkomen dat men onnodig in het invorderingstraject terechtkomt, we vereenvoudigen de aanvraag voor een kwijtscheldingsformulier zodat belanghebbende minder hoeft aan te leveren en de aanvraag simpeler wordt. </w:t>
      </w:r>
      <w:r w:rsidR="04345A9F">
        <w:br/>
      </w:r>
      <w:r w:rsidRPr="3B077BEA">
        <w:rPr>
          <w:rFonts w:eastAsia="Calibri" w:cs="Calibri"/>
        </w:rPr>
        <w:t xml:space="preserve">Wij zullen proactief in contact gaan treden met burgers en bedrijven die een betaalachterstand bij BghU opbouwen. Temeer dit vaak een signaal is dat er ook op andere vlakken achterstanden in betaling zijn ontstaan. Wij verwachten komende jaren een stijging van de betalingsproblemen bij middeninkomens en (jonge) studenten. </w:t>
      </w:r>
    </w:p>
    <w:p w14:paraId="3572917E" w14:textId="25D560AC" w:rsidR="00DF74F2" w:rsidRPr="00DF74F2" w:rsidRDefault="00DF74F2" w:rsidP="7B3DB2D0">
      <w:pPr>
        <w:rPr>
          <w:rFonts w:eastAsia="Calibri" w:cs="Calibri"/>
          <w:szCs w:val="20"/>
        </w:rPr>
      </w:pPr>
    </w:p>
    <w:p w14:paraId="5BC99C80" w14:textId="56A5B199" w:rsidR="00DF74F2" w:rsidRPr="00DF74F2" w:rsidRDefault="7B3DB2D0" w:rsidP="7B3DB2D0">
      <w:pPr>
        <w:rPr>
          <w:rFonts w:eastAsia="Calibri" w:cs="Calibri"/>
          <w:szCs w:val="20"/>
        </w:rPr>
      </w:pPr>
      <w:r w:rsidRPr="7B3DB2D0">
        <w:rPr>
          <w:rFonts w:eastAsia="Calibri" w:cs="Calibri"/>
          <w:szCs w:val="20"/>
        </w:rPr>
        <w:t>Wij onderzoeken de mogelijkheden van vroeg-signalering.</w:t>
      </w:r>
      <w:r w:rsidR="566736DA">
        <w:br/>
      </w:r>
      <w:r w:rsidRPr="7B3DB2D0">
        <w:rPr>
          <w:rFonts w:eastAsia="Calibri" w:cs="Calibri"/>
          <w:szCs w:val="20"/>
        </w:rPr>
        <w:t xml:space="preserve">In dit traject van vroeg-signalering willen wij niet alleen de burgers snel kunnen doorverwijzen naar de schuldhulpverlening, ten behoeve van structurele oplossingen. </w:t>
      </w:r>
      <w:r w:rsidR="566736DA">
        <w:br/>
      </w:r>
      <w:r w:rsidRPr="7B3DB2D0">
        <w:rPr>
          <w:rFonts w:eastAsia="Calibri" w:cs="Calibri"/>
          <w:szCs w:val="20"/>
        </w:rPr>
        <w:t>Ook willen wij onderzoeken hoe wij burgers die wij nu niet bereiken, wel kunnen bereiken. Meertalige communicatie en een betere samenwerking met wijkteams, vrijwilligersorganisaties, moskeeën, kerken en budgetcoaches, zijn onderdeel van dit onderzoek.</w:t>
      </w:r>
      <w:r w:rsidR="566736DA">
        <w:br/>
      </w:r>
      <w:r w:rsidR="566736DA">
        <w:br/>
      </w:r>
      <w:r w:rsidRPr="7B3DB2D0">
        <w:rPr>
          <w:rFonts w:eastAsia="Calibri" w:cs="Calibri"/>
          <w:szCs w:val="20"/>
        </w:rPr>
        <w:t>“Mensen met financiële problemen kunnen niet aan hun toekomst werken” aldus de Nationale Ombudsman. Het is dus ook aan BghU om daar iets in te betekenen.</w:t>
      </w:r>
      <w:r w:rsidR="566736DA">
        <w:br/>
      </w:r>
    </w:p>
    <w:p w14:paraId="03FFCF5A" w14:textId="44ED81E0" w:rsidR="00DF74F2" w:rsidRPr="00DF74F2" w:rsidRDefault="7B3DB2D0" w:rsidP="7B3DB2D0">
      <w:pPr>
        <w:rPr>
          <w:rFonts w:eastAsia="Calibri" w:cs="Calibri"/>
          <w:szCs w:val="20"/>
        </w:rPr>
      </w:pPr>
      <w:r w:rsidRPr="7B3DB2D0">
        <w:rPr>
          <w:rFonts w:eastAsia="Calibri" w:cs="Calibri"/>
          <w:szCs w:val="20"/>
        </w:rPr>
        <w:t>Voor de afhandeling van bezwaarschriften en ook kwijtscheldingsverzoeken willen we onderzoeken waar Artificial Intelligence ons kan helpen. Het nieuwe belastingpakket biedt mogelijkheden om repeterende werkzaamheden efficiënter te kunnen afhandelen.</w:t>
      </w:r>
    </w:p>
    <w:p w14:paraId="171062A2" w14:textId="5455A28B" w:rsidR="00DF74F2" w:rsidRPr="00DF74F2" w:rsidRDefault="00DF74F2" w:rsidP="7B3DB2D0">
      <w:pPr>
        <w:rPr>
          <w:rFonts w:eastAsia="Calibri" w:cs="Calibri"/>
          <w:szCs w:val="20"/>
        </w:rPr>
      </w:pPr>
    </w:p>
    <w:p w14:paraId="623F16A6" w14:textId="2BCF7C53" w:rsidR="00DF74F2" w:rsidRDefault="7B3DB2D0" w:rsidP="7B3DB2D0">
      <w:pPr>
        <w:rPr>
          <w:rFonts w:eastAsia="Calibri" w:cs="Calibri"/>
          <w:szCs w:val="20"/>
        </w:rPr>
      </w:pPr>
      <w:r w:rsidRPr="7B3DB2D0">
        <w:rPr>
          <w:rFonts w:eastAsia="Calibri" w:cs="Calibri"/>
          <w:szCs w:val="20"/>
        </w:rPr>
        <w:t>BghU is al enige tijd bezig met het beter benutten van de verschillende kanalen waarmee de burgers en bedrijven met BghU in contact treden. De ontwikkelingen rondom de Chatbot die BghU op haar website gebruikt, worden ten volle benut, zodat er een betere koppeling gaat ontstaan tussen telefoon, chatbot en communicatie via middelen als What’s App. Dit alles om de burgers en bedrijven beter en sneller te kunnen helpen. Vanuit deze kanalen zullen ook procesverbeteringen in dienstverlening ontstaan: eventuele onduidelijkheden over de producten van BghU worden beter inzichtelijk.</w:t>
      </w:r>
    </w:p>
    <w:p w14:paraId="51E15132" w14:textId="4BF4CB39" w:rsidR="00BC63FE" w:rsidRDefault="00BC63FE" w:rsidP="7B3DB2D0">
      <w:pPr>
        <w:rPr>
          <w:rFonts w:eastAsia="Calibri" w:cs="Calibri"/>
          <w:szCs w:val="20"/>
        </w:rPr>
      </w:pPr>
    </w:p>
    <w:p w14:paraId="09251E4E" w14:textId="77D0D317" w:rsidR="00BC63FE" w:rsidRPr="00BC63FE" w:rsidRDefault="00BC63FE" w:rsidP="7B3DB2D0">
      <w:pPr>
        <w:rPr>
          <w:rFonts w:eastAsia="Calibri" w:cs="Calibri"/>
          <w:i/>
          <w:iCs/>
          <w:szCs w:val="20"/>
        </w:rPr>
      </w:pPr>
      <w:r w:rsidRPr="00BC63FE">
        <w:rPr>
          <w:rFonts w:eastAsia="Calibri" w:cs="Calibri"/>
          <w:i/>
          <w:iCs/>
          <w:szCs w:val="20"/>
        </w:rPr>
        <w:t>Klachten</w:t>
      </w:r>
    </w:p>
    <w:p w14:paraId="213F052E" w14:textId="5F073262" w:rsidR="00BC63FE" w:rsidRPr="00DF74F2" w:rsidRDefault="00BC63FE" w:rsidP="7B3DB2D0">
      <w:pPr>
        <w:rPr>
          <w:rFonts w:eastAsia="Calibri" w:cs="Calibri"/>
          <w:szCs w:val="20"/>
        </w:rPr>
      </w:pPr>
      <w:r>
        <w:rPr>
          <w:rFonts w:eastAsia="Calibri" w:cs="Calibri"/>
          <w:szCs w:val="20"/>
        </w:rPr>
        <w:t>Klachten zijn voor BghU een belangrijk signaal. Het geeft BghU de mogelijkheid om de dienstverlening te verbeteren wanneer blijft dat er iets niet goed gaat. Soms kan een klacht leiden tot het doen van aanbevelingen en resulteren in een procesverbetering. Voor zover daar al sprake van is en is geweest betreft het relatief kleide verbeteringen in processen en instructies.</w:t>
      </w:r>
    </w:p>
    <w:p w14:paraId="1C458270" w14:textId="77777777" w:rsidR="00DF74F2" w:rsidRDefault="566736DA" w:rsidP="00DF74F2">
      <w:pPr>
        <w:pStyle w:val="Kop2"/>
      </w:pPr>
      <w:bookmarkStart w:id="30" w:name="_Toc121747479"/>
      <w:r>
        <w:t>4.5 Innen</w:t>
      </w:r>
      <w:bookmarkEnd w:id="30"/>
    </w:p>
    <w:p w14:paraId="2C23370D" w14:textId="6830B403" w:rsidR="16FBBEFD" w:rsidRDefault="7B3DB2D0" w:rsidP="7B3DB2D0">
      <w:pPr>
        <w:rPr>
          <w:rFonts w:eastAsia="Calibri" w:cs="Calibri"/>
          <w:szCs w:val="20"/>
        </w:rPr>
      </w:pPr>
      <w:r w:rsidRPr="7B3DB2D0">
        <w:rPr>
          <w:szCs w:val="20"/>
        </w:rPr>
        <w:t xml:space="preserve">Binnen BghU zal er in 2023 een grote uitrol plaatsvinden wat betreft de medewerkers inzetten op basis van hun talenten. Waar krijgen medewerkers energie van en hoe krijgen medewerkers de ruimte om hun mogelijkheden te benutten. Binnen het procesteam Innen kan je dan denken aan: </w:t>
      </w:r>
      <w:r w:rsidRPr="7B3DB2D0">
        <w:rPr>
          <w:rFonts w:eastAsia="Calibri" w:cs="Calibri"/>
          <w:szCs w:val="20"/>
        </w:rPr>
        <w:t xml:space="preserve">waarom is iemand beter in de binnenstad en waarom zet iemand zijn/haar talenten beter in op een woonwagenkamp en niet in de binnenstad? </w:t>
      </w:r>
      <w:r w:rsidR="566736DA">
        <w:br/>
      </w:r>
      <w:r w:rsidRPr="7B3DB2D0">
        <w:rPr>
          <w:rFonts w:eastAsia="Calibri" w:cs="Calibri"/>
          <w:szCs w:val="20"/>
        </w:rPr>
        <w:t>Daarmee hopen we meer in te kunnen spelen op de behoefte van de medewerker maar daarmee ook op de kwaliteit van de dienstverlening en dus ten voordele van de belanghebbende.</w:t>
      </w:r>
      <w:r w:rsidR="566736DA">
        <w:br/>
      </w:r>
    </w:p>
    <w:p w14:paraId="7409DA88" w14:textId="5FE72C14" w:rsidR="16FBBEFD" w:rsidRDefault="7B3DB2D0" w:rsidP="7B3DB2D0">
      <w:pPr>
        <w:rPr>
          <w:rFonts w:eastAsia="Calibri" w:cs="Calibri"/>
          <w:szCs w:val="20"/>
        </w:rPr>
      </w:pPr>
      <w:r w:rsidRPr="7B3DB2D0">
        <w:rPr>
          <w:rFonts w:eastAsia="Calibri" w:cs="Calibri"/>
          <w:szCs w:val="20"/>
        </w:rPr>
        <w:lastRenderedPageBreak/>
        <w:t>Data-analyse en een slimme aansluiting van processen laten ons beter reageren op de maatschappelijke ontwikkelingen. BghU wil maatwerk leveren voor de burgers en bedrijven die buiten de gestandaardiseerde processen (gaan) vallen. Denk hierbij aan sociaal invorderen, beter op de doelgroep aansluitende communicatie en een reductie van onnodige administratieve processen.</w:t>
      </w:r>
    </w:p>
    <w:p w14:paraId="1B6F7E14" w14:textId="3731276D" w:rsidR="566736DA" w:rsidRDefault="566736DA" w:rsidP="566736DA">
      <w:pPr>
        <w:pStyle w:val="Kop2"/>
      </w:pPr>
      <w:bookmarkStart w:id="31" w:name="_Toc121747480"/>
      <w:r>
        <w:t>4.6 Communicatie</w:t>
      </w:r>
      <w:bookmarkEnd w:id="31"/>
    </w:p>
    <w:p w14:paraId="12E42D9E" w14:textId="4F8A4D71" w:rsidR="566736DA" w:rsidRDefault="7B3DB2D0" w:rsidP="3B077BEA">
      <w:pPr>
        <w:rPr>
          <w:rFonts w:eastAsia="Calibri" w:cs="Calibri"/>
        </w:rPr>
      </w:pPr>
      <w:r w:rsidRPr="3B077BEA">
        <w:rPr>
          <w:rFonts w:eastAsia="Calibri" w:cs="Calibri"/>
        </w:rPr>
        <w:t>Binnen Dienstverlening is het onderdeel Communicatie belegd bij een van de twee coördinatoren en wordt naast en tijdens het reguliere werk opgepakt. Vanwege het belang en de omvang van communicatie, is de huidige situatie onwenselijk en vraagt daarom om een herijking. Zowel qua formatieplaats als financieel. Momenteel is een bedrag van € 16.000 begroot (circa 12 uur per week), maar dit heeft een aanpassing nodig. Temeer een verbetering van de dienstverlening meer vraagt dan er nu beschikbaar is, komen cruciale communicatievraagstukken - klantreis, verbetering van uitingen, betere aansluiting op de doelgroep, interne communicatie, chatbot - niet voldoende van de grond. Daarnaast, een medewerker Communicatie (nu ingeschat op 24 uur per week) is voor een organisatie als BghU noodzakelijk.</w:t>
      </w:r>
    </w:p>
    <w:p w14:paraId="4A6C23A0" w14:textId="30626DF4" w:rsidR="00DF74F2" w:rsidRDefault="00DF74F2" w:rsidP="00DF74F2">
      <w:pPr>
        <w:pStyle w:val="Kop2"/>
      </w:pPr>
      <w:bookmarkStart w:id="32" w:name="_Toc121747481"/>
      <w:r>
        <w:t>4.</w:t>
      </w:r>
      <w:r w:rsidR="00855A4A">
        <w:t>7</w:t>
      </w:r>
      <w:r>
        <w:t xml:space="preserve"> Overhead – informatiebeveiliging en informatievoorziening/ICT</w:t>
      </w:r>
      <w:bookmarkEnd w:id="32"/>
    </w:p>
    <w:p w14:paraId="76057583" w14:textId="506002CD" w:rsidR="7B363D01" w:rsidRDefault="7B3DB2D0" w:rsidP="3B077BEA">
      <w:pPr>
        <w:spacing w:line="257" w:lineRule="auto"/>
        <w:rPr>
          <w:rFonts w:asciiTheme="minorHAnsi" w:eastAsiaTheme="minorEastAsia" w:hAnsiTheme="minorHAnsi" w:cstheme="minorBidi"/>
          <w:i/>
          <w:iCs/>
        </w:rPr>
      </w:pPr>
      <w:r w:rsidRPr="3B077BEA">
        <w:rPr>
          <w:rFonts w:asciiTheme="minorHAnsi" w:eastAsiaTheme="minorEastAsia" w:hAnsiTheme="minorHAnsi" w:cstheme="minorBidi"/>
          <w:i/>
          <w:iCs/>
        </w:rPr>
        <w:t>Ontwikkelingen 2024 – 2027</w:t>
      </w:r>
    </w:p>
    <w:p w14:paraId="63A7D45A" w14:textId="400D8FD9" w:rsidR="7B363D01" w:rsidRDefault="7B3DB2D0" w:rsidP="7B3DB2D0">
      <w:pPr>
        <w:spacing w:line="257" w:lineRule="auto"/>
        <w:rPr>
          <w:rFonts w:asciiTheme="minorHAnsi" w:eastAsiaTheme="minorEastAsia" w:hAnsiTheme="minorHAnsi" w:cstheme="minorBidi"/>
          <w:szCs w:val="20"/>
        </w:rPr>
      </w:pPr>
      <w:r w:rsidRPr="7B3DB2D0">
        <w:rPr>
          <w:rFonts w:asciiTheme="minorHAnsi" w:eastAsiaTheme="minorEastAsia" w:hAnsiTheme="minorHAnsi" w:cstheme="minorBidi"/>
          <w:szCs w:val="20"/>
        </w:rPr>
        <w:t>Informatie speelt een cruciale rol binnen BghU. Tussen de domeinprocessen onderling wordt veel informatie uitgewisseld en uitwisseling van informatie met klanten, deelnemers en overige externe partijen vindt ook veelvuldig plaats. Hierbij spelen informatiebeveiliging, informatievoorziening en IT grote rol. Hieronder zijn de ontwikkelingen over de periode 2024 – 2027 benoemd.</w:t>
      </w:r>
    </w:p>
    <w:p w14:paraId="6A16C109" w14:textId="315348AE" w:rsidR="39F1BDD8" w:rsidRDefault="39F1BDD8" w:rsidP="7B3DB2D0">
      <w:pPr>
        <w:rPr>
          <w:rFonts w:asciiTheme="minorHAnsi" w:eastAsiaTheme="minorEastAsia" w:hAnsiTheme="minorHAnsi" w:cstheme="minorBidi"/>
          <w:color w:val="000000" w:themeColor="text1"/>
          <w:szCs w:val="20"/>
        </w:rPr>
      </w:pPr>
    </w:p>
    <w:p w14:paraId="31CBA212" w14:textId="7BE4962B" w:rsidR="2D92278D" w:rsidRDefault="7B3DB2D0" w:rsidP="7B3DB2D0">
      <w:pPr>
        <w:rPr>
          <w:rFonts w:asciiTheme="minorHAnsi" w:eastAsiaTheme="minorEastAsia" w:hAnsiTheme="minorHAnsi" w:cstheme="minorBidi"/>
          <w:i/>
          <w:iCs/>
          <w:color w:val="000000" w:themeColor="text1"/>
          <w:szCs w:val="20"/>
        </w:rPr>
      </w:pPr>
      <w:r w:rsidRPr="7B3DB2D0">
        <w:rPr>
          <w:rFonts w:asciiTheme="minorHAnsi" w:eastAsiaTheme="minorEastAsia" w:hAnsiTheme="minorHAnsi" w:cstheme="minorBidi"/>
          <w:i/>
          <w:iCs/>
          <w:color w:val="000000" w:themeColor="text1"/>
          <w:szCs w:val="20"/>
        </w:rPr>
        <w:t>Informatiebeveiliging</w:t>
      </w:r>
    </w:p>
    <w:p w14:paraId="46B6AC45" w14:textId="0B4E4D39" w:rsidR="6B7505D1" w:rsidRDefault="7B3DB2D0" w:rsidP="7B3DB2D0">
      <w:pPr>
        <w:rPr>
          <w:rFonts w:asciiTheme="minorHAnsi" w:eastAsiaTheme="minorEastAsia" w:hAnsiTheme="minorHAnsi" w:cstheme="minorBidi"/>
          <w:color w:val="000000" w:themeColor="text1"/>
          <w:szCs w:val="20"/>
        </w:rPr>
      </w:pPr>
      <w:r w:rsidRPr="7B3DB2D0">
        <w:rPr>
          <w:rFonts w:asciiTheme="minorHAnsi" w:eastAsiaTheme="minorEastAsia" w:hAnsiTheme="minorHAnsi" w:cstheme="minorBidi"/>
          <w:color w:val="000000" w:themeColor="text1"/>
          <w:szCs w:val="20"/>
        </w:rPr>
        <w:t>Digitale dreigingen nemen steeds verder toe en de weerbaarheid daartegen wordt steeds belangrijker. BghU heeft toegang tot informatie die voor cybercriminelen interessant kunnen zijn. Het wordt steeds belangrijker om de ontwikkelingen en risico’s op het gebied van informatiebeveiliging op nauwe voet te volgen, om enige risico’s, nu of in de toekomst te kunnen voorkomen. Het risico op ontwrichting door digitale dreigingen is groter door scheefgroei, dreiging en weerbaarheid volgens het jaarlijkse Cybersecuritybeeld Nederland</w:t>
      </w:r>
      <w:r w:rsidRPr="7B3DB2D0">
        <w:rPr>
          <w:rFonts w:asciiTheme="minorHAnsi" w:eastAsiaTheme="minorEastAsia" w:hAnsiTheme="minorHAnsi" w:cstheme="minorBidi"/>
          <w:b/>
          <w:bCs/>
          <w:color w:val="000000" w:themeColor="text1"/>
          <w:szCs w:val="20"/>
        </w:rPr>
        <w:t xml:space="preserve"> </w:t>
      </w:r>
      <w:r w:rsidRPr="7B3DB2D0">
        <w:rPr>
          <w:rFonts w:asciiTheme="minorHAnsi" w:eastAsiaTheme="minorEastAsia" w:hAnsiTheme="minorHAnsi" w:cstheme="minorBidi"/>
          <w:color w:val="000000" w:themeColor="text1"/>
          <w:szCs w:val="20"/>
        </w:rPr>
        <w:t>(CSBN) van de nationaal coördinator Terrorismebestrijding en Veiligheid (NCTV), dat in samenwerking met het Nationaal Cybersecurity Centrum (NCSC) is opgesteld. Dit kenmerkt zich door de volgende risico’s:</w:t>
      </w:r>
    </w:p>
    <w:p w14:paraId="67253E03" w14:textId="4C1F4C9E" w:rsidR="6B7505D1" w:rsidRDefault="7B3DB2D0" w:rsidP="7B3DB2D0">
      <w:pPr>
        <w:rPr>
          <w:rFonts w:asciiTheme="minorHAnsi" w:eastAsiaTheme="minorEastAsia" w:hAnsiTheme="minorHAnsi" w:cstheme="minorBidi"/>
          <w:color w:val="000000" w:themeColor="text1"/>
          <w:szCs w:val="20"/>
        </w:rPr>
      </w:pPr>
      <w:r w:rsidRPr="7B3DB2D0">
        <w:rPr>
          <w:rFonts w:asciiTheme="minorHAnsi" w:eastAsiaTheme="minorEastAsia" w:hAnsiTheme="minorHAnsi" w:cstheme="minorBidi"/>
          <w:color w:val="000000" w:themeColor="text1"/>
          <w:szCs w:val="20"/>
        </w:rPr>
        <w:t xml:space="preserve"> </w:t>
      </w:r>
    </w:p>
    <w:p w14:paraId="28BCDCD5" w14:textId="7B50AA18" w:rsidR="6B7505D1" w:rsidRDefault="7B3DB2D0" w:rsidP="7B3DB2D0">
      <w:pPr>
        <w:pStyle w:val="Lijstalinea"/>
        <w:numPr>
          <w:ilvl w:val="0"/>
          <w:numId w:val="27"/>
        </w:numPr>
        <w:rPr>
          <w:rFonts w:asciiTheme="minorHAnsi" w:eastAsiaTheme="minorEastAsia" w:hAnsiTheme="minorHAnsi" w:cstheme="minorBidi"/>
          <w:szCs w:val="20"/>
        </w:rPr>
      </w:pPr>
      <w:r w:rsidRPr="7B3DB2D0">
        <w:rPr>
          <w:rFonts w:asciiTheme="minorHAnsi" w:eastAsiaTheme="minorEastAsia" w:hAnsiTheme="minorHAnsi" w:cstheme="minorBidi"/>
          <w:szCs w:val="20"/>
        </w:rPr>
        <w:t>De kans op cyberaanvallen (gesteund) door buitenlandse inlichtingen- en veiligheidsdiensten is het nieuwe normaal om geopolitieke voordelen te behalen;</w:t>
      </w:r>
    </w:p>
    <w:p w14:paraId="22FAFD47" w14:textId="261CA453" w:rsidR="6B7505D1" w:rsidRDefault="7B3DB2D0" w:rsidP="7B3DB2D0">
      <w:pPr>
        <w:pStyle w:val="Lijstalinea"/>
        <w:numPr>
          <w:ilvl w:val="0"/>
          <w:numId w:val="27"/>
        </w:numPr>
        <w:rPr>
          <w:rFonts w:asciiTheme="minorHAnsi" w:eastAsiaTheme="minorEastAsia" w:hAnsiTheme="minorHAnsi" w:cstheme="minorBidi"/>
          <w:szCs w:val="20"/>
        </w:rPr>
      </w:pPr>
      <w:r w:rsidRPr="7B3DB2D0">
        <w:rPr>
          <w:rFonts w:asciiTheme="minorHAnsi" w:eastAsiaTheme="minorEastAsia" w:hAnsiTheme="minorHAnsi" w:cstheme="minorBidi"/>
          <w:szCs w:val="20"/>
        </w:rPr>
        <w:t>Verhoogd risico op cyberaanvallen met gijzelsoftware (ransomware) met als doel succesvolle dubbele of drievoudige afpersing op zowel de beoogde organisatie als hun klanten en/of leveranciers;</w:t>
      </w:r>
    </w:p>
    <w:p w14:paraId="22C99F40" w14:textId="0B074664" w:rsidR="6B7505D1" w:rsidRDefault="7B3DB2D0" w:rsidP="7B3DB2D0">
      <w:pPr>
        <w:pStyle w:val="Lijstalinea"/>
        <w:numPr>
          <w:ilvl w:val="0"/>
          <w:numId w:val="27"/>
        </w:numPr>
        <w:rPr>
          <w:rFonts w:asciiTheme="minorHAnsi" w:eastAsiaTheme="minorEastAsia" w:hAnsiTheme="minorHAnsi" w:cstheme="minorBidi"/>
          <w:szCs w:val="20"/>
        </w:rPr>
      </w:pPr>
      <w:r w:rsidRPr="7B3DB2D0">
        <w:rPr>
          <w:rFonts w:asciiTheme="minorHAnsi" w:eastAsiaTheme="minorEastAsia" w:hAnsiTheme="minorHAnsi" w:cstheme="minorBidi"/>
          <w:szCs w:val="20"/>
        </w:rPr>
        <w:t xml:space="preserve">Toename van het aantal zero-day kwetsbaarheden (onbekende kwetsbaarheden in software); </w:t>
      </w:r>
    </w:p>
    <w:p w14:paraId="4763155C" w14:textId="48942566" w:rsidR="6B7505D1" w:rsidRDefault="7B3DB2D0" w:rsidP="7B3DB2D0">
      <w:pPr>
        <w:pStyle w:val="Lijstalinea"/>
        <w:numPr>
          <w:ilvl w:val="0"/>
          <w:numId w:val="27"/>
        </w:numPr>
        <w:rPr>
          <w:rFonts w:asciiTheme="minorHAnsi" w:eastAsiaTheme="minorEastAsia" w:hAnsiTheme="minorHAnsi" w:cstheme="minorBidi"/>
          <w:szCs w:val="20"/>
        </w:rPr>
      </w:pPr>
      <w:r w:rsidRPr="7B3DB2D0">
        <w:rPr>
          <w:rFonts w:asciiTheme="minorHAnsi" w:eastAsiaTheme="minorEastAsia" w:hAnsiTheme="minorHAnsi" w:cstheme="minorBidi"/>
          <w:szCs w:val="20"/>
        </w:rPr>
        <w:t>Verhoogd risico door uitval of verstoring van clouddiensten met als grootschalige gevolgen voor Nederlandse organisaties en sectoren.</w:t>
      </w:r>
    </w:p>
    <w:p w14:paraId="3C1939B2" w14:textId="2FC32577" w:rsidR="6B7505D1" w:rsidRDefault="7B3DB2D0" w:rsidP="7B3DB2D0">
      <w:pPr>
        <w:rPr>
          <w:rFonts w:asciiTheme="minorHAnsi" w:eastAsiaTheme="minorEastAsia" w:hAnsiTheme="minorHAnsi" w:cstheme="minorBidi"/>
          <w:color w:val="000000" w:themeColor="text1"/>
          <w:szCs w:val="20"/>
        </w:rPr>
      </w:pPr>
      <w:r w:rsidRPr="7B3DB2D0">
        <w:rPr>
          <w:rFonts w:asciiTheme="minorHAnsi" w:eastAsiaTheme="minorEastAsia" w:hAnsiTheme="minorHAnsi" w:cstheme="minorBidi"/>
          <w:color w:val="000000" w:themeColor="text1"/>
          <w:szCs w:val="20"/>
        </w:rPr>
        <w:t xml:space="preserve"> </w:t>
      </w:r>
    </w:p>
    <w:p w14:paraId="50020B3C" w14:textId="4C86266F" w:rsidR="6B7505D1" w:rsidRDefault="7B3DB2D0" w:rsidP="7B3DB2D0">
      <w:pPr>
        <w:rPr>
          <w:rFonts w:asciiTheme="minorHAnsi" w:eastAsiaTheme="minorEastAsia" w:hAnsiTheme="minorHAnsi" w:cstheme="minorBidi"/>
          <w:color w:val="000000" w:themeColor="text1"/>
          <w:szCs w:val="20"/>
        </w:rPr>
      </w:pPr>
      <w:r w:rsidRPr="7B3DB2D0">
        <w:rPr>
          <w:rFonts w:asciiTheme="minorHAnsi" w:eastAsiaTheme="minorEastAsia" w:hAnsiTheme="minorHAnsi" w:cstheme="minorBidi"/>
          <w:color w:val="000000" w:themeColor="text1"/>
          <w:szCs w:val="20"/>
        </w:rPr>
        <w:t xml:space="preserve">Het is niet de vraag of bedrijven worden aangevallen, maar wanneer. Samenwerking met leveranciers vindt vaker plaats en via leveranciers kunnen cybercriminelen zich toegang verschaffen tot gegevens van BghU. De maatregelen en processen die hiertegen weerstand bieden, zijn bekend, en BghU is bezig met het implementeren hiervan. Parallel hieraan verhogen we de bewustwording, waardoor het risico op incidenten met grote impact wordt verkleind. Als het toch mis mocht gaan, zal de hulp van de Informatie Beveiligingsdienst (IBD) en deelnemende gemeenten en waterschap onderling gecoördineerd worden. Verschillende soorten incidenten met de impact ‘groot’ of ‘klein’, kunnen onvoorziene kosten met zich meebrengen. BghU heeft de onvoorziene kosten geborgd door budget te reserveren voor onvoorziene omstandigheden. Verder zijn taken hierover deels uitbesteed aan ICT-leverancier Centric en in de toekomst aan een nieuwe provider. De taken en vereisten omtrent onvoorziene kosten worden meegenomen in het document (Plan Van Eisen). </w:t>
      </w:r>
    </w:p>
    <w:p w14:paraId="32BF3A50" w14:textId="1C656887" w:rsidR="6B7505D1" w:rsidRDefault="7B3DB2D0" w:rsidP="7B3DB2D0">
      <w:pPr>
        <w:rPr>
          <w:rFonts w:asciiTheme="minorHAnsi" w:eastAsiaTheme="minorEastAsia" w:hAnsiTheme="minorHAnsi" w:cstheme="minorBidi"/>
          <w:color w:val="000000" w:themeColor="text1"/>
          <w:szCs w:val="20"/>
        </w:rPr>
      </w:pPr>
      <w:r w:rsidRPr="7B3DB2D0">
        <w:rPr>
          <w:rFonts w:asciiTheme="minorHAnsi" w:eastAsiaTheme="minorEastAsia" w:hAnsiTheme="minorHAnsi" w:cstheme="minorBidi"/>
          <w:color w:val="000000" w:themeColor="text1"/>
          <w:szCs w:val="20"/>
        </w:rPr>
        <w:t xml:space="preserve"> </w:t>
      </w:r>
    </w:p>
    <w:p w14:paraId="2E60EDBB" w14:textId="6FF672BD" w:rsidR="6B7505D1" w:rsidRDefault="7B3DB2D0" w:rsidP="7B3DB2D0">
      <w:pPr>
        <w:rPr>
          <w:rFonts w:asciiTheme="minorHAnsi" w:eastAsiaTheme="minorEastAsia" w:hAnsiTheme="minorHAnsi" w:cstheme="minorBidi"/>
          <w:i/>
          <w:iCs/>
          <w:color w:val="000000" w:themeColor="text1"/>
          <w:szCs w:val="20"/>
        </w:rPr>
      </w:pPr>
      <w:r w:rsidRPr="7B3DB2D0">
        <w:rPr>
          <w:rFonts w:asciiTheme="minorHAnsi" w:eastAsiaTheme="minorEastAsia" w:hAnsiTheme="minorHAnsi" w:cstheme="minorBidi"/>
          <w:i/>
          <w:iCs/>
          <w:color w:val="000000" w:themeColor="text1"/>
          <w:szCs w:val="20"/>
        </w:rPr>
        <w:t>Baseline Informatiebeveiliging Overheid</w:t>
      </w:r>
    </w:p>
    <w:p w14:paraId="45732218" w14:textId="414A6146" w:rsidR="6B7505D1" w:rsidRDefault="7B3DB2D0" w:rsidP="7B3DB2D0">
      <w:pPr>
        <w:rPr>
          <w:rFonts w:asciiTheme="minorHAnsi" w:eastAsiaTheme="minorEastAsia" w:hAnsiTheme="minorHAnsi" w:cstheme="minorBidi"/>
          <w:color w:val="000000" w:themeColor="text1"/>
          <w:szCs w:val="20"/>
        </w:rPr>
      </w:pPr>
      <w:r w:rsidRPr="7B3DB2D0">
        <w:rPr>
          <w:rFonts w:asciiTheme="minorHAnsi" w:eastAsiaTheme="minorEastAsia" w:hAnsiTheme="minorHAnsi" w:cstheme="minorBidi"/>
          <w:color w:val="000000" w:themeColor="text1"/>
          <w:szCs w:val="20"/>
        </w:rPr>
        <w:t xml:space="preserve">De Baseline Informatiebeveiliging Overheid is onlosmakelijk verbonden met de NEN ISO27001/ISO27002 normering voor informatiebeveiliging. In februari 2022 is de ISO27002 geüpdatet. Naar verwachting zullen de wijzigingen in de ISO27002 worden doorgevoerd in de Baseline Informatiebeveiliging Overheid. Vanuit BghU </w:t>
      </w:r>
      <w:r w:rsidRPr="7B3DB2D0">
        <w:rPr>
          <w:rFonts w:asciiTheme="minorHAnsi" w:eastAsiaTheme="minorEastAsia" w:hAnsiTheme="minorHAnsi" w:cstheme="minorBidi"/>
          <w:color w:val="000000" w:themeColor="text1"/>
          <w:szCs w:val="20"/>
        </w:rPr>
        <w:lastRenderedPageBreak/>
        <w:t>zijn stappen ondernomen om in te spelen op de komende wijziging. Mede door de wijziging is een BIO-gap analyse uitgevoerd, waarin de top 10 focuspunten en het kader voor de komende jaren worden bepaald. Denk hierbij aan meer toezicht- en controle op leveranciersrelaties, strenger inlogbeleid voor medewerkers en derden, het monitoren van data om phishing en hacking te voorkomen en een jaarlijks terugkerende fysieke- en digitale beveiligingstest (bijv. Mystery guest en PEN-test). De taken van de CISO en FG en het onderkennen van het belang van de BIO zijn hierbij cruciaal.</w:t>
      </w:r>
    </w:p>
    <w:p w14:paraId="7C027E30" w14:textId="2AD42569" w:rsidR="6B7505D1" w:rsidRDefault="7B3DB2D0" w:rsidP="7B3DB2D0">
      <w:pPr>
        <w:rPr>
          <w:rFonts w:asciiTheme="minorHAnsi" w:eastAsiaTheme="minorEastAsia" w:hAnsiTheme="minorHAnsi" w:cstheme="minorBidi"/>
          <w:color w:val="000000" w:themeColor="text1"/>
          <w:szCs w:val="20"/>
        </w:rPr>
      </w:pPr>
      <w:r w:rsidRPr="7B3DB2D0">
        <w:rPr>
          <w:rFonts w:asciiTheme="minorHAnsi" w:eastAsiaTheme="minorEastAsia" w:hAnsiTheme="minorHAnsi" w:cstheme="minorBidi"/>
          <w:color w:val="000000" w:themeColor="text1"/>
          <w:szCs w:val="20"/>
        </w:rPr>
        <w:t xml:space="preserve"> </w:t>
      </w:r>
    </w:p>
    <w:p w14:paraId="4FABC7F5" w14:textId="2A15D32F" w:rsidR="6B7505D1" w:rsidRDefault="7B3DB2D0" w:rsidP="7B3DB2D0">
      <w:pPr>
        <w:rPr>
          <w:rFonts w:asciiTheme="minorHAnsi" w:eastAsiaTheme="minorEastAsia" w:hAnsiTheme="minorHAnsi" w:cstheme="minorBidi"/>
          <w:i/>
          <w:iCs/>
          <w:color w:val="000000" w:themeColor="text1"/>
          <w:szCs w:val="20"/>
        </w:rPr>
      </w:pPr>
      <w:r w:rsidRPr="7B3DB2D0">
        <w:rPr>
          <w:rFonts w:asciiTheme="minorHAnsi" w:eastAsiaTheme="minorEastAsia" w:hAnsiTheme="minorHAnsi" w:cstheme="minorBidi"/>
          <w:i/>
          <w:iCs/>
          <w:color w:val="000000" w:themeColor="text1"/>
          <w:szCs w:val="20"/>
        </w:rPr>
        <w:t xml:space="preserve">Nieuwe wetgeving </w:t>
      </w:r>
    </w:p>
    <w:p w14:paraId="0A25D10F" w14:textId="1A6849EF" w:rsidR="6B7505D1" w:rsidRDefault="7B3DB2D0" w:rsidP="7B3DB2D0">
      <w:pPr>
        <w:rPr>
          <w:rFonts w:asciiTheme="minorHAnsi" w:eastAsiaTheme="minorEastAsia" w:hAnsiTheme="minorHAnsi" w:cstheme="minorBidi"/>
          <w:color w:val="000000" w:themeColor="text1"/>
          <w:szCs w:val="20"/>
        </w:rPr>
      </w:pPr>
      <w:r w:rsidRPr="7B3DB2D0">
        <w:rPr>
          <w:rFonts w:asciiTheme="minorHAnsi" w:eastAsiaTheme="minorEastAsia" w:hAnsiTheme="minorHAnsi" w:cstheme="minorBidi"/>
          <w:color w:val="000000" w:themeColor="text1"/>
          <w:szCs w:val="20"/>
        </w:rPr>
        <w:t>De nieuwe wetgeving NIS2 (Netwerk- en informatiesystemen 2) zal naar verwachting in de herfst van 2024 landelijk gelden, ook voor BghU. De nieuwe wetgeving kan enorme impact gaan hebben op (lokale) overheden en andere organisaties. Organisaties die niet voldoen aan de nieuwe richtlijn kunnen een boete verwachten van 10 miljoen euro of 2% van de jaarlijkse omzet. De grootste verandering door NIS2 is dat bestuurders en secretarissen verantwoordelijk worden gesteld voor cyberincidenten, met mogelijke schorsingen tot gevolg. BghU heeft de nieuwe wetgeving tot zich genomen en zijn bezig met het opstellen van een plan om risico’s in de toekomst te voorkomen.</w:t>
      </w:r>
    </w:p>
    <w:p w14:paraId="396A6D11" w14:textId="334A3EB0" w:rsidR="6B7505D1" w:rsidRDefault="6B7505D1" w:rsidP="7B3DB2D0">
      <w:pPr>
        <w:rPr>
          <w:rFonts w:asciiTheme="minorHAnsi" w:eastAsiaTheme="minorEastAsia" w:hAnsiTheme="minorHAnsi" w:cstheme="minorBidi"/>
          <w:color w:val="000000" w:themeColor="text1"/>
          <w:szCs w:val="20"/>
        </w:rPr>
      </w:pPr>
    </w:p>
    <w:p w14:paraId="397D942F" w14:textId="6017C497" w:rsidR="16FBBEFD" w:rsidRDefault="7B3DB2D0" w:rsidP="7B3DB2D0">
      <w:pPr>
        <w:rPr>
          <w:rFonts w:asciiTheme="minorHAnsi" w:eastAsiaTheme="minorEastAsia" w:hAnsiTheme="minorHAnsi" w:cstheme="minorBidi"/>
          <w:i/>
          <w:iCs/>
          <w:color w:val="000000" w:themeColor="text1"/>
          <w:szCs w:val="20"/>
        </w:rPr>
      </w:pPr>
      <w:r w:rsidRPr="7B3DB2D0">
        <w:rPr>
          <w:rFonts w:asciiTheme="minorHAnsi" w:eastAsiaTheme="minorEastAsia" w:hAnsiTheme="minorHAnsi" w:cstheme="minorBidi"/>
          <w:i/>
          <w:iCs/>
          <w:color w:val="000000" w:themeColor="text1"/>
          <w:szCs w:val="20"/>
        </w:rPr>
        <w:t>Generieke Digitale Infrastructuur (GDI)</w:t>
      </w:r>
    </w:p>
    <w:p w14:paraId="7EDDB07D" w14:textId="22E07E95" w:rsidR="0F8EE3F8" w:rsidRDefault="7B3DB2D0" w:rsidP="7B3DB2D0">
      <w:pPr>
        <w:spacing w:line="257" w:lineRule="auto"/>
        <w:rPr>
          <w:rFonts w:asciiTheme="minorHAnsi" w:eastAsiaTheme="minorEastAsia" w:hAnsiTheme="minorHAnsi" w:cstheme="minorBidi"/>
          <w:color w:val="000000" w:themeColor="text1"/>
          <w:szCs w:val="20"/>
        </w:rPr>
      </w:pPr>
      <w:r w:rsidRPr="7B3DB2D0">
        <w:rPr>
          <w:rFonts w:asciiTheme="minorHAnsi" w:eastAsiaTheme="minorEastAsia" w:hAnsiTheme="minorHAnsi" w:cstheme="minorBidi"/>
          <w:color w:val="000000" w:themeColor="text1"/>
          <w:szCs w:val="20"/>
        </w:rPr>
        <w:t>De Generieke Digitale Infrastructuur (GDI) is de verzamelterm voor de digitale producten, standaarden en voorzieningen die overheidsbreed worden gebruikt voor veilige en betrouwbare dienstverlening aan burgers en ondernemers. Hieronder vallen onder andere producten als Mijn Overheid en de (koppeling met) de basisregistraties. De GDI wordt met ingang van 2023 centraal gefinancierd.</w:t>
      </w:r>
    </w:p>
    <w:p w14:paraId="68A3D21F" w14:textId="491A7DB5" w:rsidR="39F1BDD8" w:rsidRDefault="39F1BDD8" w:rsidP="7B3DB2D0">
      <w:pPr>
        <w:spacing w:line="257" w:lineRule="auto"/>
        <w:rPr>
          <w:rFonts w:asciiTheme="minorHAnsi" w:eastAsiaTheme="minorEastAsia" w:hAnsiTheme="minorHAnsi" w:cstheme="minorBidi"/>
          <w:color w:val="000000" w:themeColor="text1"/>
          <w:szCs w:val="20"/>
        </w:rPr>
      </w:pPr>
    </w:p>
    <w:p w14:paraId="2A072910" w14:textId="0FCD51DA" w:rsidR="0F8EE3F8" w:rsidRDefault="7B3DB2D0" w:rsidP="7B3DB2D0">
      <w:pPr>
        <w:spacing w:line="257" w:lineRule="auto"/>
        <w:rPr>
          <w:rFonts w:asciiTheme="minorHAnsi" w:eastAsiaTheme="minorEastAsia" w:hAnsiTheme="minorHAnsi" w:cstheme="minorBidi"/>
          <w:color w:val="000000" w:themeColor="text1"/>
          <w:szCs w:val="20"/>
        </w:rPr>
      </w:pPr>
      <w:r w:rsidRPr="7B3DB2D0">
        <w:rPr>
          <w:rFonts w:asciiTheme="minorHAnsi" w:eastAsiaTheme="minorEastAsia" w:hAnsiTheme="minorHAnsi" w:cstheme="minorBidi"/>
          <w:color w:val="000000" w:themeColor="text1"/>
          <w:szCs w:val="20"/>
        </w:rPr>
        <w:t xml:space="preserve">BghU heeft in de recente aanbestedingen al rekening gehouden met de toepassing van open standaarden voor gegevensuitwisseling, zoals voorgeschreven door Forum Standaardisatie. Hieronder vallen bijvoorbeeld het verplicht gebruik van Digikoppeling (basisregistraties) en Geo-standaarden.  Waar toepassing van open standaarden nog niet mogelijk is, zal overgang in de komende periode worden gestimuleerd    </w:t>
      </w:r>
    </w:p>
    <w:p w14:paraId="29EAE4AD" w14:textId="31755CCC" w:rsidR="39F1BDD8" w:rsidRDefault="39F1BDD8" w:rsidP="7B3DB2D0">
      <w:pPr>
        <w:spacing w:line="257" w:lineRule="auto"/>
        <w:rPr>
          <w:rFonts w:asciiTheme="minorHAnsi" w:eastAsiaTheme="minorEastAsia" w:hAnsiTheme="minorHAnsi" w:cstheme="minorBidi"/>
          <w:szCs w:val="20"/>
        </w:rPr>
      </w:pPr>
    </w:p>
    <w:p w14:paraId="53D43FBF" w14:textId="76DEA968" w:rsidR="0F8EE3F8" w:rsidRDefault="7B3DB2D0" w:rsidP="7B3DB2D0">
      <w:pPr>
        <w:spacing w:line="257" w:lineRule="auto"/>
        <w:rPr>
          <w:rFonts w:asciiTheme="minorHAnsi" w:eastAsiaTheme="minorEastAsia" w:hAnsiTheme="minorHAnsi" w:cstheme="minorBidi"/>
          <w:szCs w:val="20"/>
        </w:rPr>
      </w:pPr>
      <w:r w:rsidRPr="7B3DB2D0">
        <w:rPr>
          <w:rFonts w:asciiTheme="minorHAnsi" w:eastAsiaTheme="minorEastAsia" w:hAnsiTheme="minorHAnsi" w:cstheme="minorBidi"/>
          <w:szCs w:val="20"/>
        </w:rPr>
        <w:t xml:space="preserve">Wat betreft de koppeling met de basisregistraties zal de nadruk komen te liggen op bevraging en levering door middel van bevragings- of notificatie-services conform de vastgestelde ‘OpenAPI Specification’. Hierbij is (door)ontwikkeling van volledige standaardisatie van de onderlinge uitwisselingsmogelijkheden (API) voor intern en extern verkeer, het uitgangspunt.  </w:t>
      </w:r>
    </w:p>
    <w:p w14:paraId="5232E48B" w14:textId="3CA8C26A" w:rsidR="39F1BDD8" w:rsidRDefault="39F1BDD8" w:rsidP="7B3DB2D0">
      <w:pPr>
        <w:rPr>
          <w:rFonts w:asciiTheme="minorHAnsi" w:eastAsiaTheme="minorEastAsia" w:hAnsiTheme="minorHAnsi" w:cstheme="minorBidi"/>
          <w:szCs w:val="20"/>
        </w:rPr>
      </w:pPr>
    </w:p>
    <w:p w14:paraId="13A30A4D" w14:textId="02198FB0" w:rsidR="44396BD4" w:rsidRDefault="6BCD204B" w:rsidP="6BCD204B">
      <w:pPr>
        <w:spacing w:line="257" w:lineRule="auto"/>
        <w:rPr>
          <w:rFonts w:asciiTheme="minorHAnsi" w:eastAsiaTheme="minorEastAsia" w:hAnsiTheme="minorHAnsi" w:cstheme="minorBidi"/>
          <w:i/>
          <w:iCs/>
        </w:rPr>
      </w:pPr>
      <w:r w:rsidRPr="6BCD204B">
        <w:rPr>
          <w:rFonts w:asciiTheme="minorHAnsi" w:eastAsiaTheme="minorEastAsia" w:hAnsiTheme="minorHAnsi" w:cstheme="minorBidi"/>
          <w:i/>
          <w:iCs/>
        </w:rPr>
        <w:t>Koppelvlakken en informatiestromen</w:t>
      </w:r>
    </w:p>
    <w:p w14:paraId="5BE64F3A" w14:textId="5A5A3CB8" w:rsidR="44396BD4" w:rsidRPr="00D71E4A" w:rsidRDefault="7B3DB2D0" w:rsidP="7B3DB2D0">
      <w:pPr>
        <w:spacing w:line="257" w:lineRule="auto"/>
        <w:rPr>
          <w:rFonts w:asciiTheme="minorHAnsi" w:eastAsiaTheme="minorEastAsia" w:hAnsiTheme="minorHAnsi" w:cstheme="minorBidi"/>
          <w:szCs w:val="20"/>
        </w:rPr>
      </w:pPr>
      <w:r w:rsidRPr="00D71E4A">
        <w:rPr>
          <w:rFonts w:asciiTheme="minorHAnsi" w:eastAsiaTheme="minorEastAsia" w:hAnsiTheme="minorHAnsi" w:cstheme="minorBidi"/>
          <w:szCs w:val="20"/>
        </w:rPr>
        <w:t>In 2024 zal de levering van de gegevens uit de basisregistratie Handelsregister op een andere wijze verlopen. De Kamer van Koophandel stapt dan over op een directe leveringsservice van de HR-gegevens (nu: passief). De betekent aanpassing van zowel het koppelvlak, als de informatiestroom van deze gegevens binnen de belastingapplicatie.</w:t>
      </w:r>
    </w:p>
    <w:p w14:paraId="69164BBA" w14:textId="6C99CBE4" w:rsidR="39F1BDD8" w:rsidRPr="00D71E4A" w:rsidRDefault="39F1BDD8" w:rsidP="7B3DB2D0">
      <w:pPr>
        <w:spacing w:line="257" w:lineRule="auto"/>
        <w:rPr>
          <w:rFonts w:asciiTheme="minorHAnsi" w:eastAsiaTheme="minorEastAsia" w:hAnsiTheme="minorHAnsi" w:cstheme="minorBidi"/>
          <w:szCs w:val="20"/>
        </w:rPr>
      </w:pPr>
    </w:p>
    <w:p w14:paraId="6F56CAB7" w14:textId="2BB1C5B8" w:rsidR="44396BD4" w:rsidRPr="00D71E4A" w:rsidRDefault="7B3DB2D0" w:rsidP="7B3DB2D0">
      <w:pPr>
        <w:spacing w:line="257" w:lineRule="auto"/>
        <w:rPr>
          <w:rFonts w:asciiTheme="minorHAnsi" w:eastAsiaTheme="minorEastAsia" w:hAnsiTheme="minorHAnsi" w:cstheme="minorBidi"/>
          <w:szCs w:val="20"/>
        </w:rPr>
      </w:pPr>
      <w:r w:rsidRPr="00D71E4A">
        <w:rPr>
          <w:rFonts w:asciiTheme="minorHAnsi" w:eastAsiaTheme="minorEastAsia" w:hAnsiTheme="minorHAnsi" w:cstheme="minorBidi"/>
          <w:szCs w:val="20"/>
        </w:rPr>
        <w:t xml:space="preserve">De invoering van de Omgevingswet (per 1 juli 2023) zal een verandering betekenen voor de wijze waarop BghU nu objectgerelateerde informatie van haar deelnemers ontvangt en verwerkt (o.a. bouwvergunningen). Invoering van de wet is tevens het moment om te komen tot een efficiëntere informatiestroom m.b.t. dit proces. Dit zal leiden tot ontwikkeling van een koppelvlak om deze gegevens te kunnen ontvangen en onderzoek naar specifieke procesautomatisering voor de verwerking- en opslag. De verwachting is dat hiermee in 2024 wordt gestart.       </w:t>
      </w:r>
    </w:p>
    <w:p w14:paraId="45B88B32" w14:textId="66FE5112" w:rsidR="39F1BDD8" w:rsidRPr="00D71E4A" w:rsidRDefault="39F1BDD8" w:rsidP="7B3DB2D0">
      <w:pPr>
        <w:rPr>
          <w:rFonts w:asciiTheme="minorHAnsi" w:eastAsiaTheme="minorEastAsia" w:hAnsiTheme="minorHAnsi" w:cstheme="minorBidi"/>
          <w:szCs w:val="20"/>
        </w:rPr>
      </w:pPr>
    </w:p>
    <w:p w14:paraId="226CB6D1" w14:textId="0889A8C3" w:rsidR="068F4904" w:rsidRDefault="7B3DB2D0" w:rsidP="7B3DB2D0">
      <w:pPr>
        <w:spacing w:line="257" w:lineRule="auto"/>
        <w:rPr>
          <w:rFonts w:asciiTheme="minorHAnsi" w:eastAsiaTheme="minorEastAsia" w:hAnsiTheme="minorHAnsi" w:cstheme="minorBidi"/>
          <w:szCs w:val="20"/>
        </w:rPr>
      </w:pPr>
      <w:r w:rsidRPr="00D71E4A">
        <w:rPr>
          <w:rFonts w:asciiTheme="minorHAnsi" w:eastAsiaTheme="minorEastAsia" w:hAnsiTheme="minorHAnsi" w:cstheme="minorBidi"/>
          <w:szCs w:val="20"/>
        </w:rPr>
        <w:t>Zoals eerder genoemd onder hoofdstuk 4.1, zal de nieuwe BAG-applicatie in verschillende fasen worden doorontwikkeld naar een SOR-applicatie. Omdat de wetgeving omtrent de SOR nog niet duidelijk is, zijn de startmomenten per fase wat verder in de tijd geplaatst en zal verdere ontwikkeling een dynamisch karakter krijgen. Fase 2 (per 1 januari 2024) omvat de doorontwikkeling van de applicatie naar een objectenregistratie, fase 3 (indicatief per 1 januari 2025) omvat de doorontwikkeling naar een SOR-applicatie. Dit heeft vanaf genoemde perioden gevolgen voor de relevante informatiestromen binnen het huidige applicatielandschap. Informatievoorziening zal de veranderingen in kaart brengen en de betrokken proceseigenaren bij deze transities ondersteunen in de overgang.</w:t>
      </w:r>
      <w:r w:rsidRPr="7B3DB2D0">
        <w:rPr>
          <w:rFonts w:asciiTheme="minorHAnsi" w:eastAsiaTheme="minorEastAsia" w:hAnsiTheme="minorHAnsi" w:cstheme="minorBidi"/>
          <w:szCs w:val="20"/>
        </w:rPr>
        <w:t xml:space="preserve">     </w:t>
      </w:r>
    </w:p>
    <w:p w14:paraId="4732464D" w14:textId="3886CCE8" w:rsidR="4C01C5AE" w:rsidRDefault="7B3DB2D0" w:rsidP="7B3DB2D0">
      <w:pPr>
        <w:spacing w:line="257" w:lineRule="auto"/>
        <w:rPr>
          <w:rFonts w:asciiTheme="minorHAnsi" w:eastAsiaTheme="minorEastAsia" w:hAnsiTheme="minorHAnsi" w:cstheme="minorBidi"/>
          <w:szCs w:val="20"/>
        </w:rPr>
      </w:pPr>
      <w:r w:rsidRPr="7B3DB2D0">
        <w:rPr>
          <w:rFonts w:asciiTheme="minorHAnsi" w:eastAsiaTheme="minorEastAsia" w:hAnsiTheme="minorHAnsi" w:cstheme="minorBidi"/>
          <w:szCs w:val="20"/>
        </w:rPr>
        <w:t xml:space="preserve"> </w:t>
      </w:r>
    </w:p>
    <w:p w14:paraId="4CF285E2" w14:textId="1ADDBE60" w:rsidR="656DC11D" w:rsidRDefault="7B3DB2D0" w:rsidP="7B3DB2D0">
      <w:pPr>
        <w:spacing w:line="257" w:lineRule="auto"/>
        <w:rPr>
          <w:rFonts w:asciiTheme="minorHAnsi" w:eastAsiaTheme="minorEastAsia" w:hAnsiTheme="minorHAnsi" w:cstheme="minorBidi"/>
          <w:i/>
          <w:iCs/>
          <w:szCs w:val="20"/>
        </w:rPr>
      </w:pPr>
      <w:r w:rsidRPr="7B3DB2D0">
        <w:rPr>
          <w:rFonts w:asciiTheme="minorHAnsi" w:eastAsiaTheme="minorEastAsia" w:hAnsiTheme="minorHAnsi" w:cstheme="minorBidi"/>
          <w:i/>
          <w:iCs/>
          <w:szCs w:val="20"/>
        </w:rPr>
        <w:lastRenderedPageBreak/>
        <w:t>Digitalisering en automatiseren van werkprocessen</w:t>
      </w:r>
    </w:p>
    <w:p w14:paraId="388837B5" w14:textId="55835255" w:rsidR="656DC11D" w:rsidRDefault="0067454A" w:rsidP="7B3DB2D0">
      <w:pPr>
        <w:rPr>
          <w:rFonts w:asciiTheme="minorHAnsi" w:eastAsiaTheme="minorEastAsia" w:hAnsiTheme="minorHAnsi" w:cstheme="minorBidi"/>
          <w:color w:val="000000" w:themeColor="text1"/>
          <w:szCs w:val="20"/>
        </w:rPr>
      </w:pPr>
      <w:r>
        <w:rPr>
          <w:rFonts w:asciiTheme="minorHAnsi" w:eastAsiaTheme="minorEastAsia" w:hAnsiTheme="minorHAnsi" w:cstheme="minorBidi"/>
          <w:color w:val="000000" w:themeColor="text1"/>
          <w:szCs w:val="20"/>
        </w:rPr>
        <w:t>M</w:t>
      </w:r>
      <w:r w:rsidR="7B3DB2D0" w:rsidRPr="7B3DB2D0">
        <w:rPr>
          <w:rFonts w:asciiTheme="minorHAnsi" w:eastAsiaTheme="minorEastAsia" w:hAnsiTheme="minorHAnsi" w:cstheme="minorBidi"/>
          <w:color w:val="000000" w:themeColor="text1"/>
          <w:szCs w:val="20"/>
        </w:rPr>
        <w:t xml:space="preserve">et de invulling van ons applicatielandschap en de IT-infrastructuur wil BghU zich voorbereiden op toepassingen die een verdere digitalisering en automatisering mogelijk maken. De keuze voor architectuur, hardware en tooling moeten voldoende robuust zijn om op deze ontwikkelingen te kunnen inspelen. Dit is een belangrijke randvoorwaarde om invulling te geven aan de ontwikkeling van een datagedreven organisatie </w:t>
      </w:r>
    </w:p>
    <w:p w14:paraId="2F0901A9" w14:textId="59E7AE0D" w:rsidR="39F1BDD8" w:rsidRDefault="39F1BDD8" w:rsidP="7B3DB2D0">
      <w:pPr>
        <w:rPr>
          <w:rFonts w:asciiTheme="minorHAnsi" w:eastAsiaTheme="minorEastAsia" w:hAnsiTheme="minorHAnsi" w:cstheme="minorBidi"/>
          <w:color w:val="000000" w:themeColor="text1"/>
          <w:szCs w:val="20"/>
        </w:rPr>
      </w:pPr>
    </w:p>
    <w:p w14:paraId="404D67DF" w14:textId="12C6D9AE" w:rsidR="656DC11D" w:rsidRDefault="7B3DB2D0" w:rsidP="7B3DB2D0">
      <w:pPr>
        <w:rPr>
          <w:rFonts w:asciiTheme="minorHAnsi" w:eastAsiaTheme="minorEastAsia" w:hAnsiTheme="minorHAnsi" w:cstheme="minorBidi"/>
          <w:color w:val="000000" w:themeColor="text1"/>
          <w:szCs w:val="20"/>
        </w:rPr>
      </w:pPr>
      <w:r w:rsidRPr="7B3DB2D0">
        <w:rPr>
          <w:rFonts w:asciiTheme="minorHAnsi" w:eastAsiaTheme="minorEastAsia" w:hAnsiTheme="minorHAnsi" w:cstheme="minorBidi"/>
          <w:color w:val="000000" w:themeColor="text1"/>
          <w:szCs w:val="20"/>
        </w:rPr>
        <w:t xml:space="preserve">Voor de verwerking van de toenemende datastromen zal BghU zich o.a. richten op robotisering (‘zgn. RPA’, Robotic Process Automation). Hierbij wordt binnen processen gekeken of repetitieve handelingen door middel van software geautomatiseerd kunnen worden. </w:t>
      </w:r>
    </w:p>
    <w:p w14:paraId="09452E59" w14:textId="38A5FB33" w:rsidR="39F1BDD8" w:rsidRDefault="39F1BDD8" w:rsidP="7B3DB2D0">
      <w:pPr>
        <w:rPr>
          <w:rFonts w:asciiTheme="minorHAnsi" w:eastAsiaTheme="minorEastAsia" w:hAnsiTheme="minorHAnsi" w:cstheme="minorBidi"/>
          <w:szCs w:val="20"/>
        </w:rPr>
      </w:pPr>
    </w:p>
    <w:p w14:paraId="39EFA586" w14:textId="24E69A28" w:rsidR="1DF0CC23" w:rsidRDefault="7B3DB2D0" w:rsidP="7B3DB2D0">
      <w:pPr>
        <w:spacing w:line="257" w:lineRule="auto"/>
        <w:rPr>
          <w:rFonts w:asciiTheme="minorHAnsi" w:eastAsiaTheme="minorEastAsia" w:hAnsiTheme="minorHAnsi" w:cstheme="minorBidi"/>
          <w:i/>
          <w:iCs/>
          <w:szCs w:val="20"/>
        </w:rPr>
      </w:pPr>
      <w:r w:rsidRPr="7B3DB2D0">
        <w:rPr>
          <w:rFonts w:asciiTheme="minorHAnsi" w:eastAsiaTheme="minorEastAsia" w:hAnsiTheme="minorHAnsi" w:cstheme="minorBidi"/>
          <w:i/>
          <w:iCs/>
          <w:szCs w:val="20"/>
        </w:rPr>
        <w:t>Beeldmateriaal/Geo-hosting en –distributie</w:t>
      </w:r>
    </w:p>
    <w:p w14:paraId="6F91C556" w14:textId="4A804263" w:rsidR="1DF0CC23" w:rsidRDefault="7B3DB2D0" w:rsidP="3B077BEA">
      <w:pPr>
        <w:spacing w:line="257" w:lineRule="auto"/>
        <w:rPr>
          <w:rFonts w:asciiTheme="minorHAnsi" w:eastAsiaTheme="minorEastAsia" w:hAnsiTheme="minorHAnsi" w:cstheme="minorBidi"/>
        </w:rPr>
      </w:pPr>
      <w:r w:rsidRPr="3B077BEA">
        <w:rPr>
          <w:rFonts w:asciiTheme="minorHAnsi" w:eastAsiaTheme="minorEastAsia" w:hAnsiTheme="minorHAnsi" w:cstheme="minorBidi"/>
        </w:rPr>
        <w:t xml:space="preserve">De inwinning en levering van beeldmateriaal (lucht-, obliek- en panoramafoto’s) wordt door BghU en bijna al haar deelnemers gezamenlijk aangeschaft. De samenwerking is gebaseerd op éénmalige inwinning, meervoudig gebruik en delen van kennis, maar leidt tot een individuele nadere overeenkomst voor elke deelnemer. Medio 2023 </w:t>
      </w:r>
      <w:r w:rsidR="0061028F" w:rsidRPr="3B077BEA">
        <w:rPr>
          <w:rFonts w:asciiTheme="minorHAnsi" w:eastAsiaTheme="minorEastAsia" w:hAnsiTheme="minorHAnsi" w:cstheme="minorBidi"/>
        </w:rPr>
        <w:t>start</w:t>
      </w:r>
      <w:r w:rsidR="00952A83" w:rsidRPr="3B077BEA">
        <w:rPr>
          <w:rFonts w:asciiTheme="minorHAnsi" w:eastAsiaTheme="minorEastAsia" w:hAnsiTheme="minorHAnsi" w:cstheme="minorBidi"/>
        </w:rPr>
        <w:t>en</w:t>
      </w:r>
      <w:r w:rsidR="0061028F" w:rsidRPr="3B077BEA">
        <w:rPr>
          <w:rFonts w:asciiTheme="minorHAnsi" w:eastAsiaTheme="minorEastAsia" w:hAnsiTheme="minorHAnsi" w:cstheme="minorBidi"/>
        </w:rPr>
        <w:t xml:space="preserve"> de samenwerkende partijen</w:t>
      </w:r>
      <w:r w:rsidRPr="3B077BEA">
        <w:rPr>
          <w:rFonts w:asciiTheme="minorHAnsi" w:eastAsiaTheme="minorEastAsia" w:hAnsiTheme="minorHAnsi" w:cstheme="minorBidi"/>
        </w:rPr>
        <w:t xml:space="preserve"> met de voorbereiding voor een nieuwe aanbesteding van het beeldmateriaal. In het najaar van 2023 zal de aanbesteding zijn afgerond. De nieuwe raamovereenkomst zal ingaan per 1 januari 2024 met een initiële looptijd van twee jaar en verlengingsmogelijkheden van twee maal één jaar.</w:t>
      </w:r>
    </w:p>
    <w:p w14:paraId="5B58861D" w14:textId="79E9BA6D" w:rsidR="1DF0CC23" w:rsidRDefault="7B3DB2D0" w:rsidP="7B3DB2D0">
      <w:pPr>
        <w:spacing w:line="257" w:lineRule="auto"/>
        <w:rPr>
          <w:rFonts w:asciiTheme="minorHAnsi" w:eastAsiaTheme="minorEastAsia" w:hAnsiTheme="minorHAnsi" w:cstheme="minorBidi"/>
          <w:szCs w:val="20"/>
        </w:rPr>
      </w:pPr>
      <w:r w:rsidRPr="7B3DB2D0">
        <w:rPr>
          <w:rFonts w:asciiTheme="minorHAnsi" w:eastAsiaTheme="minorEastAsia" w:hAnsiTheme="minorHAnsi" w:cstheme="minorBidi"/>
          <w:szCs w:val="20"/>
        </w:rPr>
        <w:t xml:space="preserve">  </w:t>
      </w:r>
    </w:p>
    <w:p w14:paraId="15AA189F" w14:textId="6F89F63E" w:rsidR="1DF0CC23" w:rsidRDefault="7B3DB2D0" w:rsidP="7B3DB2D0">
      <w:pPr>
        <w:spacing w:line="257" w:lineRule="auto"/>
        <w:rPr>
          <w:rFonts w:asciiTheme="minorHAnsi" w:eastAsiaTheme="minorEastAsia" w:hAnsiTheme="minorHAnsi" w:cstheme="minorBidi"/>
          <w:szCs w:val="20"/>
        </w:rPr>
      </w:pPr>
      <w:r w:rsidRPr="7B3DB2D0">
        <w:rPr>
          <w:rFonts w:asciiTheme="minorHAnsi" w:eastAsiaTheme="minorEastAsia" w:hAnsiTheme="minorHAnsi" w:cstheme="minorBidi"/>
          <w:szCs w:val="20"/>
        </w:rPr>
        <w:t>Binnen de regionale samenwerking wordt nu gekeken naar het (gezamenlijk) borgen van de kwaliteit m.b.t. de inwinning van het beeldmateriaal. Deze kwaliteitstoets zal mee worden genomen in de komende aanbesteding en zal periodiek over de gehele looptijd van de overeenkomst worden toegepast. Daarnaast zijn de ontwikkelingen op het gebied van de landelijke inwinning (BM5) en de samenwerkingsstrategie vanuit VNG-realisatie interessant om ook invulling te kunnen geven aan eenmalige inwinning en meervoudig gebruik.</w:t>
      </w:r>
    </w:p>
    <w:p w14:paraId="1A58DCDC" w14:textId="2AAFABDC" w:rsidR="1DF0CC23" w:rsidRDefault="7B3DB2D0" w:rsidP="7B3DB2D0">
      <w:pPr>
        <w:spacing w:line="257" w:lineRule="auto"/>
        <w:rPr>
          <w:rFonts w:asciiTheme="minorHAnsi" w:eastAsiaTheme="minorEastAsia" w:hAnsiTheme="minorHAnsi" w:cstheme="minorBidi"/>
          <w:szCs w:val="20"/>
        </w:rPr>
      </w:pPr>
      <w:r w:rsidRPr="7B3DB2D0">
        <w:rPr>
          <w:rFonts w:asciiTheme="minorHAnsi" w:eastAsiaTheme="minorEastAsia" w:hAnsiTheme="minorHAnsi" w:cstheme="minorBidi"/>
          <w:szCs w:val="20"/>
        </w:rPr>
        <w:t>Dit uitgangspunt kan voor de komende jaren een verandering in de samenwerking betekenen. Bijvoorbeeld door aan te sluiten op de landelijke inwinning, maar ook juist het uitbreiden van de samenwerking door aansluiten van meerdere gemeenten of andere overheidsorganisaties behoren tot de mogelijkheden.</w:t>
      </w:r>
    </w:p>
    <w:p w14:paraId="15AC6A74" w14:textId="452C68F4" w:rsidR="39F1BDD8" w:rsidRDefault="39F1BDD8" w:rsidP="7B3DB2D0">
      <w:pPr>
        <w:spacing w:line="257" w:lineRule="auto"/>
        <w:rPr>
          <w:rFonts w:asciiTheme="minorHAnsi" w:eastAsiaTheme="minorEastAsia" w:hAnsiTheme="minorHAnsi" w:cstheme="minorBidi"/>
          <w:szCs w:val="20"/>
        </w:rPr>
      </w:pPr>
    </w:p>
    <w:p w14:paraId="0C7A41FB" w14:textId="484F0800" w:rsidR="1DF0CC23" w:rsidRDefault="7B3DB2D0" w:rsidP="7B3DB2D0">
      <w:pPr>
        <w:spacing w:line="257" w:lineRule="auto"/>
        <w:rPr>
          <w:rFonts w:asciiTheme="minorHAnsi" w:eastAsiaTheme="minorEastAsia" w:hAnsiTheme="minorHAnsi" w:cstheme="minorBidi"/>
          <w:szCs w:val="20"/>
        </w:rPr>
      </w:pPr>
      <w:r w:rsidRPr="7B3DB2D0">
        <w:rPr>
          <w:rFonts w:asciiTheme="minorHAnsi" w:eastAsiaTheme="minorEastAsia" w:hAnsiTheme="minorHAnsi" w:cstheme="minorBidi"/>
          <w:szCs w:val="20"/>
        </w:rPr>
        <w:t>BghU wil het intern gebruik van beeldmateriaal optimaliseren. Om het beeldmateriaal ter beschikking te stellen aan alle kernapplicaties inclusief klantbalie, zal centrale hosting, distributie (Geo-services) en beheer aanwezig moeten zijn. Tevens wordt het mogelijk om complexe (multi-)kaartlagen aan te bieden, waarop analyses op de ruimtelijke gegevens kunnen worden uitgevoerd. De verwachting is dat met de voorbereiding in 2023 gestart wordt en vanaf 2024 en verder wordt doorontwikkeld.</w:t>
      </w:r>
    </w:p>
    <w:p w14:paraId="3047BC33" w14:textId="17E7E055" w:rsidR="39F1BDD8" w:rsidRDefault="39F1BDD8" w:rsidP="7B3DB2D0">
      <w:pPr>
        <w:spacing w:line="257" w:lineRule="auto"/>
        <w:rPr>
          <w:rFonts w:asciiTheme="minorHAnsi" w:eastAsiaTheme="minorEastAsia" w:hAnsiTheme="minorHAnsi" w:cstheme="minorBidi"/>
          <w:szCs w:val="20"/>
        </w:rPr>
      </w:pPr>
    </w:p>
    <w:p w14:paraId="0895EC8C" w14:textId="5369A471" w:rsidR="1DF0CC23" w:rsidRDefault="7B3DB2D0" w:rsidP="7B3DB2D0">
      <w:pPr>
        <w:spacing w:line="257" w:lineRule="auto"/>
        <w:rPr>
          <w:rFonts w:asciiTheme="minorHAnsi" w:eastAsiaTheme="minorEastAsia" w:hAnsiTheme="minorHAnsi" w:cstheme="minorBidi"/>
          <w:szCs w:val="20"/>
        </w:rPr>
      </w:pPr>
      <w:r w:rsidRPr="7B3DB2D0">
        <w:rPr>
          <w:rFonts w:asciiTheme="minorHAnsi" w:eastAsiaTheme="minorEastAsia" w:hAnsiTheme="minorHAnsi" w:cstheme="minorBidi"/>
          <w:szCs w:val="20"/>
        </w:rPr>
        <w:t>Voor het optimaliseren van het gebruik en de interne procesverbetering, zullen ook nieuwe toepassingsmogelijkheden worden onderzocht, die voortkomen uit ontwikkelingen als 3D, Digital Twin en True Ortho en vanuit de ontwikkeling van automatische objectgerichte mutatiesignalering door aanvullend gebruik van satellietbeelden. Onder andere voor de objectprocessen (SOR) kan dit een belangrijke meerwaarde hebben.</w:t>
      </w:r>
    </w:p>
    <w:p w14:paraId="10BAE20D" w14:textId="146EA40C" w:rsidR="39F1BDD8" w:rsidRDefault="39F1BDD8" w:rsidP="7B3DB2D0">
      <w:pPr>
        <w:rPr>
          <w:rFonts w:asciiTheme="minorHAnsi" w:eastAsiaTheme="minorEastAsia" w:hAnsiTheme="minorHAnsi" w:cstheme="minorBidi"/>
          <w:szCs w:val="20"/>
        </w:rPr>
      </w:pPr>
    </w:p>
    <w:p w14:paraId="507E4E07" w14:textId="384D49EE" w:rsidR="2D621426" w:rsidRDefault="7B3DB2D0" w:rsidP="7B3DB2D0">
      <w:pPr>
        <w:spacing w:line="257" w:lineRule="auto"/>
        <w:rPr>
          <w:rFonts w:asciiTheme="minorHAnsi" w:eastAsiaTheme="minorEastAsia" w:hAnsiTheme="minorHAnsi" w:cstheme="minorBidi"/>
          <w:i/>
          <w:iCs/>
          <w:szCs w:val="20"/>
        </w:rPr>
      </w:pPr>
      <w:r w:rsidRPr="7B3DB2D0">
        <w:rPr>
          <w:rFonts w:asciiTheme="minorHAnsi" w:eastAsiaTheme="minorEastAsia" w:hAnsiTheme="minorHAnsi" w:cstheme="minorBidi"/>
          <w:i/>
          <w:iCs/>
          <w:szCs w:val="20"/>
        </w:rPr>
        <w:t>Informatiebeleid</w:t>
      </w:r>
    </w:p>
    <w:p w14:paraId="193C8954" w14:textId="248678AE" w:rsidR="2D621426" w:rsidRDefault="7B3DB2D0" w:rsidP="7B3DB2D0">
      <w:pPr>
        <w:spacing w:line="257" w:lineRule="auto"/>
        <w:rPr>
          <w:rFonts w:asciiTheme="minorHAnsi" w:eastAsiaTheme="minorEastAsia" w:hAnsiTheme="minorHAnsi" w:cstheme="minorBidi"/>
          <w:szCs w:val="20"/>
        </w:rPr>
      </w:pPr>
      <w:r w:rsidRPr="7B3DB2D0">
        <w:rPr>
          <w:rFonts w:asciiTheme="minorHAnsi" w:eastAsiaTheme="minorEastAsia" w:hAnsiTheme="minorHAnsi" w:cstheme="minorBidi"/>
          <w:szCs w:val="20"/>
        </w:rPr>
        <w:t>In 2022 is gestart met het opstellen van een organisatiebreed informatiebeleid, mede ter borging van de uitgangspunten en principes die op het gebied van informatievoorziening en IT richtinggevend zijn voor de diverse ontwikkelingen en de besluitvorming. Een aantal van deze uitgangspunten zijn al bepaald in de notitie ‘ICT-inkoop-en aanbestedingsstrategie’.</w:t>
      </w:r>
    </w:p>
    <w:p w14:paraId="40E7A802" w14:textId="207EBF25" w:rsidR="2D621426" w:rsidRDefault="7B3DB2D0" w:rsidP="7B3DB2D0">
      <w:pPr>
        <w:spacing w:line="257" w:lineRule="auto"/>
        <w:rPr>
          <w:rFonts w:asciiTheme="minorHAnsi" w:eastAsiaTheme="minorEastAsia" w:hAnsiTheme="minorHAnsi" w:cstheme="minorBidi"/>
          <w:szCs w:val="20"/>
        </w:rPr>
      </w:pPr>
      <w:r w:rsidRPr="7B3DB2D0">
        <w:rPr>
          <w:rFonts w:asciiTheme="minorHAnsi" w:eastAsiaTheme="minorEastAsia" w:hAnsiTheme="minorHAnsi" w:cstheme="minorBidi"/>
          <w:szCs w:val="20"/>
        </w:rPr>
        <w:t xml:space="preserve"> </w:t>
      </w:r>
    </w:p>
    <w:p w14:paraId="77AE8D79" w14:textId="2E595534" w:rsidR="2D621426" w:rsidRDefault="7B3DB2D0" w:rsidP="7B3DB2D0">
      <w:pPr>
        <w:spacing w:line="257" w:lineRule="auto"/>
        <w:rPr>
          <w:rFonts w:asciiTheme="minorHAnsi" w:eastAsiaTheme="minorEastAsia" w:hAnsiTheme="minorHAnsi" w:cstheme="minorBidi"/>
          <w:szCs w:val="20"/>
        </w:rPr>
      </w:pPr>
      <w:r w:rsidRPr="7B3DB2D0">
        <w:rPr>
          <w:rFonts w:asciiTheme="minorHAnsi" w:eastAsiaTheme="minorEastAsia" w:hAnsiTheme="minorHAnsi" w:cstheme="minorBidi"/>
          <w:szCs w:val="20"/>
        </w:rPr>
        <w:t>Het informatiebeleid zal meebewegen met veranderende wet- en regelgeving en overige ontwikkelingen op het gebied van informatievoorziening, informatieveiligheid en IT. Gezien het dynamisch karakter, zal de doorontwikkeling van het informatiebeleid continueren in 2023 en de periode daarna om op dit gebied aan BghU de juiste handvatten te bieden in het besluitvormingsproces.</w:t>
      </w:r>
    </w:p>
    <w:p w14:paraId="7E5D3DDA" w14:textId="10AB297E" w:rsidR="39F1BDD8" w:rsidRDefault="39F1BDD8" w:rsidP="7B3DB2D0">
      <w:pPr>
        <w:rPr>
          <w:rFonts w:asciiTheme="minorHAnsi" w:eastAsiaTheme="minorEastAsia" w:hAnsiTheme="minorHAnsi" w:cstheme="minorBidi"/>
          <w:szCs w:val="20"/>
        </w:rPr>
      </w:pPr>
    </w:p>
    <w:p w14:paraId="2E3C3B91" w14:textId="77777777" w:rsidR="00800E2F" w:rsidRDefault="00800E2F">
      <w:pPr>
        <w:spacing w:after="200" w:line="276" w:lineRule="auto"/>
        <w:rPr>
          <w:rFonts w:asciiTheme="minorHAnsi" w:eastAsiaTheme="minorEastAsia" w:hAnsiTheme="minorHAnsi" w:cstheme="minorBidi"/>
          <w:i/>
          <w:iCs/>
          <w:szCs w:val="20"/>
        </w:rPr>
      </w:pPr>
      <w:r>
        <w:rPr>
          <w:rFonts w:asciiTheme="minorHAnsi" w:eastAsiaTheme="minorEastAsia" w:hAnsiTheme="minorHAnsi" w:cstheme="minorBidi"/>
          <w:i/>
          <w:iCs/>
          <w:szCs w:val="20"/>
        </w:rPr>
        <w:br w:type="page"/>
      </w:r>
    </w:p>
    <w:p w14:paraId="4CE70D59" w14:textId="0FC5B1A2" w:rsidR="578049D9" w:rsidRDefault="7B3DB2D0" w:rsidP="7B3DB2D0">
      <w:pPr>
        <w:spacing w:line="257" w:lineRule="auto"/>
        <w:rPr>
          <w:rFonts w:asciiTheme="minorHAnsi" w:eastAsiaTheme="minorEastAsia" w:hAnsiTheme="minorHAnsi" w:cstheme="minorBidi"/>
          <w:i/>
          <w:iCs/>
          <w:szCs w:val="20"/>
        </w:rPr>
      </w:pPr>
      <w:r w:rsidRPr="7B3DB2D0">
        <w:rPr>
          <w:rFonts w:asciiTheme="minorHAnsi" w:eastAsiaTheme="minorEastAsia" w:hAnsiTheme="minorHAnsi" w:cstheme="minorBidi"/>
          <w:i/>
          <w:iCs/>
          <w:szCs w:val="20"/>
        </w:rPr>
        <w:lastRenderedPageBreak/>
        <w:t>Aanbesteding en implementatie ICT-infrastructuur</w:t>
      </w:r>
    </w:p>
    <w:p w14:paraId="4DDFD9A4" w14:textId="09FB9000" w:rsidR="578049D9" w:rsidRDefault="7B3DB2D0" w:rsidP="7B3DB2D0">
      <w:pPr>
        <w:spacing w:line="257" w:lineRule="auto"/>
        <w:rPr>
          <w:rFonts w:asciiTheme="minorHAnsi" w:eastAsiaTheme="minorEastAsia" w:hAnsiTheme="minorHAnsi" w:cstheme="minorBidi"/>
          <w:szCs w:val="20"/>
        </w:rPr>
      </w:pPr>
      <w:r w:rsidRPr="7B3DB2D0">
        <w:rPr>
          <w:rFonts w:asciiTheme="minorHAnsi" w:eastAsiaTheme="minorEastAsia" w:hAnsiTheme="minorHAnsi" w:cstheme="minorBidi"/>
          <w:szCs w:val="20"/>
        </w:rPr>
        <w:t xml:space="preserve">De overeenkomst met de leverancier van de huidige ICT-infrastructuur eindigt eind 2023. In 2022 is gestart met de voorbereidingen voor het aanbestedingstraject van de hosting en kantoorautomatisering, waarbij de nadruk ligt op veilige cloud-computing en cloud-storage en optimalisatie van contractmanagement tussen BghU en haar nieuwe leverancier(s). </w:t>
      </w:r>
    </w:p>
    <w:p w14:paraId="49716B4D" w14:textId="013F09E5" w:rsidR="578049D9" w:rsidRPr="00981122" w:rsidRDefault="7B3DB2D0" w:rsidP="7B3DB2D0">
      <w:pPr>
        <w:spacing w:line="257" w:lineRule="auto"/>
        <w:rPr>
          <w:rFonts w:asciiTheme="minorHAnsi" w:eastAsiaTheme="minorEastAsia" w:hAnsiTheme="minorHAnsi" w:cstheme="minorBidi"/>
          <w:szCs w:val="20"/>
        </w:rPr>
      </w:pPr>
      <w:r w:rsidRPr="7B3DB2D0">
        <w:rPr>
          <w:rFonts w:asciiTheme="minorHAnsi" w:eastAsiaTheme="minorEastAsia" w:hAnsiTheme="minorHAnsi" w:cstheme="minorBidi"/>
          <w:szCs w:val="20"/>
        </w:rPr>
        <w:t>De ontwikkeling van de gekozen oplossing, zal in 2024 verder worden uitgewerkt na evaluatie van het implementatietraject.</w:t>
      </w:r>
    </w:p>
    <w:p w14:paraId="1BC7ED29" w14:textId="53510DD8" w:rsidR="39F1BDD8" w:rsidRPr="00981122" w:rsidRDefault="39F1BDD8" w:rsidP="7B3DB2D0">
      <w:pPr>
        <w:rPr>
          <w:rFonts w:asciiTheme="minorHAnsi" w:eastAsiaTheme="minorEastAsia" w:hAnsiTheme="minorHAnsi" w:cstheme="minorBidi"/>
          <w:szCs w:val="20"/>
        </w:rPr>
      </w:pPr>
    </w:p>
    <w:p w14:paraId="1AB721CB" w14:textId="150167AC" w:rsidR="400BED7F" w:rsidRPr="001F4CA9" w:rsidRDefault="7B3DB2D0" w:rsidP="7B3DB2D0">
      <w:pPr>
        <w:spacing w:line="257" w:lineRule="auto"/>
        <w:rPr>
          <w:rFonts w:asciiTheme="minorHAnsi" w:eastAsiaTheme="minorEastAsia" w:hAnsiTheme="minorHAnsi" w:cstheme="minorBidi"/>
          <w:i/>
          <w:iCs/>
          <w:szCs w:val="20"/>
        </w:rPr>
      </w:pPr>
      <w:r w:rsidRPr="7B3DB2D0">
        <w:rPr>
          <w:rFonts w:asciiTheme="minorHAnsi" w:eastAsiaTheme="minorEastAsia" w:hAnsiTheme="minorHAnsi" w:cstheme="minorBidi"/>
          <w:i/>
          <w:iCs/>
          <w:szCs w:val="20"/>
        </w:rPr>
        <w:t>Werkplekken (hardware)</w:t>
      </w:r>
    </w:p>
    <w:p w14:paraId="309AEA64" w14:textId="360CFAE0" w:rsidR="400BED7F" w:rsidRDefault="7B3DB2D0" w:rsidP="7B3DB2D0">
      <w:pPr>
        <w:spacing w:line="257" w:lineRule="auto"/>
        <w:rPr>
          <w:rFonts w:asciiTheme="minorHAnsi" w:eastAsiaTheme="minorEastAsia" w:hAnsiTheme="minorHAnsi" w:cstheme="minorBidi"/>
          <w:szCs w:val="20"/>
        </w:rPr>
      </w:pPr>
      <w:r w:rsidRPr="7B3DB2D0">
        <w:rPr>
          <w:rFonts w:asciiTheme="minorHAnsi" w:eastAsiaTheme="minorEastAsia" w:hAnsiTheme="minorHAnsi" w:cstheme="minorBidi"/>
          <w:szCs w:val="20"/>
        </w:rPr>
        <w:t>De huidige ICT-werkplekken op de kantoorlocatie zijn afgeschreven en zullen binnen dezelfde aanbesteding worden vervangen. Hierbij is gekozen voor het uitgangspunt van een hybride werkplek-oplossing. De werkplek van de medewerker op kantoor wordt gelijk aan de werkplek van de medewerker thuis (aangaande de hardware). Hierdoor kan de medewerker zo efficiënt en gebruiksvriendelijk mogelijk, plaats- en tijdonafhankelijk werken en is veilige authenticatie geborgd. Tevens is op deze wijze BghU optimaal voorbereid op mogelijke onvoorziene omstandigheden of ad hoc-situaties, zoals bijvoorbeeld een mogelijke Corona-lockdown. Het faciliteren en beheren van hybride ICT-werkplekken in deze vorm en begeleiding van de medewerkers is een continu proces en zal in 2024 worden geïntegreerd in de beheersprocessen binnen de IT-organisatie (implementatie assetmanagement).</w:t>
      </w:r>
    </w:p>
    <w:p w14:paraId="11106297" w14:textId="29D96BFF" w:rsidR="00DF74F2" w:rsidRDefault="00DF74F2" w:rsidP="00DF74F2">
      <w:pPr>
        <w:pStyle w:val="Kop2"/>
      </w:pPr>
      <w:bookmarkStart w:id="33" w:name="_Toc121747482"/>
      <w:r>
        <w:t>4.</w:t>
      </w:r>
      <w:r w:rsidR="00800E2F">
        <w:t>8</w:t>
      </w:r>
      <w:r>
        <w:t xml:space="preserve"> Overhead – personeel</w:t>
      </w:r>
      <w:bookmarkEnd w:id="33"/>
    </w:p>
    <w:p w14:paraId="2FE1F05D" w14:textId="5AF4A260" w:rsidR="7082D571" w:rsidRDefault="7B3DB2D0" w:rsidP="7B3DB2D0">
      <w:pPr>
        <w:jc w:val="both"/>
        <w:rPr>
          <w:rFonts w:asciiTheme="minorHAnsi" w:eastAsiaTheme="minorEastAsia" w:hAnsiTheme="minorHAnsi" w:cstheme="minorBidi"/>
          <w:i/>
          <w:iCs/>
          <w:color w:val="000000" w:themeColor="text1"/>
          <w:szCs w:val="20"/>
        </w:rPr>
      </w:pPr>
      <w:r w:rsidRPr="7B3DB2D0">
        <w:rPr>
          <w:rFonts w:asciiTheme="minorHAnsi" w:eastAsiaTheme="minorEastAsia" w:hAnsiTheme="minorHAnsi" w:cstheme="minorBidi"/>
          <w:i/>
          <w:iCs/>
          <w:color w:val="000000" w:themeColor="text1"/>
          <w:szCs w:val="20"/>
        </w:rPr>
        <w:t>Strategisch HR-beleid</w:t>
      </w:r>
      <w:r w:rsidRPr="7B3DB2D0">
        <w:rPr>
          <w:rFonts w:ascii="Lucida Sans Unicode" w:eastAsia="Lucida Sans Unicode" w:hAnsi="Lucida Sans Unicode" w:cs="Lucida Sans Unicode"/>
          <w:color w:val="000000" w:themeColor="text1"/>
          <w:sz w:val="18"/>
          <w:szCs w:val="18"/>
        </w:rPr>
        <w:t xml:space="preserve"> </w:t>
      </w:r>
    </w:p>
    <w:p w14:paraId="2B29CBB9" w14:textId="1E1DB1C8" w:rsidR="7082D571" w:rsidRDefault="7B3DB2D0" w:rsidP="7B3DB2D0">
      <w:pPr>
        <w:rPr>
          <w:rFonts w:asciiTheme="minorHAnsi" w:eastAsiaTheme="minorEastAsia" w:hAnsiTheme="minorHAnsi" w:cstheme="minorBidi"/>
          <w:color w:val="000000" w:themeColor="text1"/>
          <w:szCs w:val="20"/>
        </w:rPr>
      </w:pPr>
      <w:r w:rsidRPr="7B3DB2D0">
        <w:rPr>
          <w:rFonts w:asciiTheme="minorHAnsi" w:eastAsiaTheme="minorEastAsia" w:hAnsiTheme="minorHAnsi" w:cstheme="minorBidi"/>
          <w:color w:val="000000" w:themeColor="text1"/>
          <w:szCs w:val="20"/>
        </w:rPr>
        <w:t xml:space="preserve">De komende jaren zal BghU te maken krijgen met in-en externe ontwikkelingen die invloed hebben op het personeelsbestand van BghU. Hierbij valt met name te denken aan digitalisering en robotisering van werkprocessen, het steeds groeiende belang van data en analyses, een krapper wordende arbeidsmarkt en uitstroom van pensioengerechtigden. Verwachting is dat deze ontwikkelingen o.a. gevolgen hebben voor de inhoud van functies, (gevraagde) kennis, vaardigheden en competenties van medewerkers en de arbeidsmarktbenadering. Om in te spelen op de ontwikkelingen zal het strategisch HR-beleid zich hier de komende jaren op richten. D.m.v. strategische personeelsplanning wordt hiervoor de basis gelegd. Dit is een instrument om het huidige personeelsbestand in kwalitatieve en kwantitatieve zin af te zetten tegen hetgeen in de toekomst nodig is en vervolgens te bepalen welke acties ondernomen dienen te worden om deze ontwikkeling te vertalen naar beleidsuitvoering. </w:t>
      </w:r>
    </w:p>
    <w:p w14:paraId="3306697D" w14:textId="4356B119" w:rsidR="7082D571" w:rsidRDefault="7B3DB2D0" w:rsidP="7B3DB2D0">
      <w:pPr>
        <w:rPr>
          <w:rFonts w:asciiTheme="minorHAnsi" w:eastAsiaTheme="minorEastAsia" w:hAnsiTheme="minorHAnsi" w:cstheme="minorBidi"/>
          <w:color w:val="000000" w:themeColor="text1"/>
          <w:szCs w:val="20"/>
        </w:rPr>
      </w:pPr>
      <w:r w:rsidRPr="7B3DB2D0">
        <w:rPr>
          <w:rFonts w:asciiTheme="minorHAnsi" w:eastAsiaTheme="minorEastAsia" w:hAnsiTheme="minorHAnsi" w:cstheme="minorBidi"/>
          <w:color w:val="000000" w:themeColor="text1"/>
          <w:szCs w:val="20"/>
        </w:rPr>
        <w:t xml:space="preserve"> </w:t>
      </w:r>
    </w:p>
    <w:p w14:paraId="500B1958" w14:textId="249AEFAA" w:rsidR="7082D571" w:rsidRDefault="7B3DB2D0" w:rsidP="7B3DB2D0">
      <w:pPr>
        <w:jc w:val="both"/>
        <w:rPr>
          <w:rFonts w:asciiTheme="minorHAnsi" w:eastAsiaTheme="minorEastAsia" w:hAnsiTheme="minorHAnsi" w:cstheme="minorBidi"/>
          <w:color w:val="000000" w:themeColor="text1"/>
          <w:szCs w:val="20"/>
        </w:rPr>
      </w:pPr>
      <w:r w:rsidRPr="7B3DB2D0">
        <w:rPr>
          <w:rFonts w:asciiTheme="minorHAnsi" w:eastAsiaTheme="minorEastAsia" w:hAnsiTheme="minorHAnsi" w:cstheme="minorBidi"/>
          <w:color w:val="000000" w:themeColor="text1"/>
          <w:szCs w:val="20"/>
        </w:rPr>
        <w:t>In een steeds veranderende maatschappij en gezien bovengenoemde ontwikkelingen is het noodzakelijk om wendbaar te blijven. Het continu blijven leren en ontwikkelen is dan ook een belangrijk HR-thema, voor nu en de toekomst. Binnen dit kader wordt veel aandacht besteed aan opleiding en ontwikkeling. Zo worden kennissessies georganiseerd, zijn de meeste WOZ-taxateurs opgeleid tot NRVT-taxateur, volgen medewerkers individuele opleidingen, etc. Ook investeert BghU in het opleiden en begeleiden van stagiair(e)s (BghU is een erkend leerbedrijf), trainees en young potentials. BghU vindt het namelijk belangrijk te investeren in de potentiele medewerker van de toekomst, maar ook om van de jongere generatie te leren. Ook zal geïnvesteerd worden in opleidingen rondom datagedreven-werken, klantbenadering, etc. Jaarlijks wordt een opleidings-en ontwikkelingsplan opgesteld dat bijdraagt aan de ambitie van de organisatie en de ontwikkelingen die op de organisatie afkomen. In de komende jaren zal BghU blijven investeren in (het stimuleren) van leren en ontwikkelen.</w:t>
      </w:r>
    </w:p>
    <w:p w14:paraId="08A36AA8" w14:textId="4F8C1D87" w:rsidR="7082D571" w:rsidRDefault="7B3DB2D0" w:rsidP="7B3DB2D0">
      <w:pPr>
        <w:jc w:val="both"/>
        <w:rPr>
          <w:rFonts w:asciiTheme="minorHAnsi" w:eastAsiaTheme="minorEastAsia" w:hAnsiTheme="minorHAnsi" w:cstheme="minorBidi"/>
          <w:color w:val="000000" w:themeColor="text1"/>
          <w:szCs w:val="20"/>
        </w:rPr>
      </w:pPr>
      <w:r w:rsidRPr="7B3DB2D0">
        <w:rPr>
          <w:rFonts w:asciiTheme="minorHAnsi" w:eastAsiaTheme="minorEastAsia" w:hAnsiTheme="minorHAnsi" w:cstheme="minorBidi"/>
          <w:color w:val="000000" w:themeColor="text1"/>
          <w:szCs w:val="20"/>
        </w:rPr>
        <w:t xml:space="preserve"> </w:t>
      </w:r>
    </w:p>
    <w:p w14:paraId="106A4E98" w14:textId="5CFC6E91" w:rsidR="7082D571" w:rsidRDefault="7B3DB2D0" w:rsidP="7B3DB2D0">
      <w:pPr>
        <w:jc w:val="both"/>
        <w:rPr>
          <w:rFonts w:asciiTheme="minorHAnsi" w:eastAsiaTheme="minorEastAsia" w:hAnsiTheme="minorHAnsi" w:cstheme="minorBidi"/>
          <w:color w:val="000000" w:themeColor="text1"/>
          <w:szCs w:val="20"/>
        </w:rPr>
      </w:pPr>
      <w:r w:rsidRPr="7B3DB2D0">
        <w:rPr>
          <w:rFonts w:asciiTheme="minorHAnsi" w:eastAsiaTheme="minorEastAsia" w:hAnsiTheme="minorHAnsi" w:cstheme="minorBidi"/>
          <w:szCs w:val="20"/>
        </w:rPr>
        <w:t xml:space="preserve">We willen er de komende jaren voor zorgen dat BghU een organisatie is (en blijft) met een prettig werkklimaat waar mensen met plezier kunnen (samen)werken en zich met positieve energie dagelijks inzetten om de doelen van hun team en van BghU te bereiken. Dit wordt mede bereikt door medewerkers zoveel mogelijk te laten doen waar zij goed in zijn en door effectiever gebruik te maken van de talenten van medewerkers. Verwachting is ook dat een positieve, talentgerichte organisatie de actieve betrokkenheid, productiviteit en binding van medewerkers vergroot, verzuim verlaagt en de kwaliteit van de dienstverlening verhoogt. Om deze reden wordt </w:t>
      </w:r>
      <w:r w:rsidRPr="7B3DB2D0">
        <w:rPr>
          <w:rFonts w:asciiTheme="minorHAnsi" w:eastAsiaTheme="minorEastAsia" w:hAnsiTheme="minorHAnsi" w:cstheme="minorBidi"/>
          <w:color w:val="000000" w:themeColor="text1"/>
          <w:szCs w:val="20"/>
        </w:rPr>
        <w:t xml:space="preserve">een organisatiebreed traject ingezet dat gericht is op talent-, team- en leiderschapsontwikkeling met ieders talenten/sterke punten als basis. De komende jaren zal continu aandacht zijn voor talent-, team- en leiderschapsontwikkeling. </w:t>
      </w:r>
    </w:p>
    <w:p w14:paraId="68A2DAFE" w14:textId="5B34BE1A" w:rsidR="7082D571" w:rsidRDefault="7B3DB2D0" w:rsidP="7B3DB2D0">
      <w:pPr>
        <w:jc w:val="both"/>
        <w:rPr>
          <w:rFonts w:asciiTheme="minorHAnsi" w:eastAsiaTheme="minorEastAsia" w:hAnsiTheme="minorHAnsi" w:cstheme="minorBidi"/>
          <w:color w:val="000000" w:themeColor="text1"/>
          <w:szCs w:val="20"/>
        </w:rPr>
      </w:pPr>
      <w:r w:rsidRPr="7B3DB2D0">
        <w:rPr>
          <w:rFonts w:asciiTheme="minorHAnsi" w:eastAsiaTheme="minorEastAsia" w:hAnsiTheme="minorHAnsi" w:cstheme="minorBidi"/>
          <w:color w:val="000000" w:themeColor="text1"/>
          <w:szCs w:val="20"/>
        </w:rPr>
        <w:t xml:space="preserve">  </w:t>
      </w:r>
    </w:p>
    <w:p w14:paraId="6A33D960" w14:textId="77777777" w:rsidR="00217A3A" w:rsidRDefault="00217A3A">
      <w:pPr>
        <w:spacing w:after="200" w:line="276" w:lineRule="auto"/>
        <w:rPr>
          <w:rFonts w:asciiTheme="minorHAnsi" w:eastAsiaTheme="minorEastAsia" w:hAnsiTheme="minorHAnsi" w:cstheme="minorBidi"/>
          <w:i/>
          <w:iCs/>
          <w:color w:val="000000" w:themeColor="text1"/>
          <w:szCs w:val="20"/>
        </w:rPr>
      </w:pPr>
      <w:r>
        <w:rPr>
          <w:rFonts w:asciiTheme="minorHAnsi" w:eastAsiaTheme="minorEastAsia" w:hAnsiTheme="minorHAnsi" w:cstheme="minorBidi"/>
          <w:i/>
          <w:iCs/>
          <w:color w:val="000000" w:themeColor="text1"/>
          <w:szCs w:val="20"/>
        </w:rPr>
        <w:br w:type="page"/>
      </w:r>
    </w:p>
    <w:p w14:paraId="77559C12" w14:textId="0FF2A1BF" w:rsidR="7082D571" w:rsidRDefault="7B3DB2D0" w:rsidP="7B3DB2D0">
      <w:pPr>
        <w:rPr>
          <w:rFonts w:asciiTheme="minorHAnsi" w:eastAsiaTheme="minorEastAsia" w:hAnsiTheme="minorHAnsi" w:cstheme="minorBidi"/>
          <w:i/>
          <w:iCs/>
          <w:color w:val="000000" w:themeColor="text1"/>
          <w:szCs w:val="20"/>
        </w:rPr>
      </w:pPr>
      <w:r w:rsidRPr="7B3DB2D0">
        <w:rPr>
          <w:rFonts w:asciiTheme="minorHAnsi" w:eastAsiaTheme="minorEastAsia" w:hAnsiTheme="minorHAnsi" w:cstheme="minorBidi"/>
          <w:i/>
          <w:iCs/>
          <w:color w:val="000000" w:themeColor="text1"/>
          <w:szCs w:val="20"/>
        </w:rPr>
        <w:lastRenderedPageBreak/>
        <w:t>CAO Samenwerkende Gemeentelijke Organisaties</w:t>
      </w:r>
    </w:p>
    <w:p w14:paraId="34138ED9" w14:textId="3CB59AD3" w:rsidR="7082D571" w:rsidRDefault="7B3DB2D0" w:rsidP="7B3DB2D0">
      <w:pPr>
        <w:rPr>
          <w:rFonts w:asciiTheme="minorHAnsi" w:eastAsiaTheme="minorEastAsia" w:hAnsiTheme="minorHAnsi" w:cstheme="minorBidi"/>
          <w:color w:val="000000" w:themeColor="text1"/>
          <w:szCs w:val="20"/>
        </w:rPr>
      </w:pPr>
      <w:r w:rsidRPr="7B3DB2D0">
        <w:rPr>
          <w:rFonts w:asciiTheme="minorHAnsi" w:eastAsiaTheme="minorEastAsia" w:hAnsiTheme="minorHAnsi" w:cstheme="minorBidi"/>
          <w:color w:val="000000" w:themeColor="text1"/>
          <w:szCs w:val="20"/>
        </w:rPr>
        <w:t xml:space="preserve">De cao Samenwerkende Gemeentelijke Organisaties (SGO) is van toepassing. Momenteel lopen de onderhandelingen voor een nieuwe cao (2023). Zodra de CAO definitief is worden wijzigingen meegenomen in onder meer de begrotingsvoorbereiding en de afstemming met de Ondernemingsraad.   </w:t>
      </w:r>
    </w:p>
    <w:p w14:paraId="20679A58" w14:textId="55DCB983" w:rsidR="00455494" w:rsidRDefault="00455494" w:rsidP="00455494">
      <w:pPr>
        <w:pStyle w:val="Kop2"/>
      </w:pPr>
      <w:bookmarkStart w:id="34" w:name="_Toc121747483"/>
      <w:r>
        <w:t>4.</w:t>
      </w:r>
      <w:r w:rsidR="00800E2F">
        <w:t>9</w:t>
      </w:r>
      <w:r>
        <w:t xml:space="preserve"> Overhead – overig</w:t>
      </w:r>
      <w:bookmarkEnd w:id="34"/>
    </w:p>
    <w:p w14:paraId="6D1C92F9" w14:textId="0C2B1565" w:rsidR="006218C8" w:rsidRPr="00217A3A" w:rsidRDefault="7B3DB2D0" w:rsidP="7B3DB2D0">
      <w:pPr>
        <w:spacing w:after="200" w:line="276" w:lineRule="auto"/>
        <w:rPr>
          <w:rFonts w:asciiTheme="minorHAnsi" w:eastAsiaTheme="minorEastAsia" w:hAnsiTheme="minorHAnsi" w:cstheme="minorHAnsi"/>
        </w:rPr>
      </w:pPr>
      <w:r w:rsidRPr="7B3DB2D0">
        <w:rPr>
          <w:rStyle w:val="normaltextrun"/>
          <w:rFonts w:asciiTheme="minorHAnsi" w:eastAsiaTheme="minorEastAsia" w:hAnsiTheme="minorHAnsi" w:cstheme="minorBidi"/>
          <w:i/>
          <w:iCs/>
          <w:szCs w:val="20"/>
        </w:rPr>
        <w:t>Bestuursondersteuning</w:t>
      </w:r>
      <w:r w:rsidR="16FBBEFD">
        <w:br/>
      </w:r>
      <w:r w:rsidRPr="00217A3A">
        <w:rPr>
          <w:rFonts w:asciiTheme="minorHAnsi" w:eastAsiaTheme="minorEastAsia" w:hAnsiTheme="minorHAnsi" w:cstheme="minorHAnsi"/>
        </w:rPr>
        <w:t>Digitaal vergaderen was in de coronatijd toegestaan op basis van een tijdelijke wet. Die wet is per 1 juli 2022 vervallen. De koepelorganisaties van gemeenten en provincies hebben er herhaaldelijk op aangedrongen dat er een permanente regeling zou komen. Aan die regeling werkt de minister nog. De wetgevingsprocedure die daarvoor nodig is kost echter nog de nodige tijd. Naar verwachting zal het wetsvoorstel begin 2023 worden ingediend.</w:t>
      </w:r>
    </w:p>
    <w:p w14:paraId="17631FED" w14:textId="77777777" w:rsidR="00455494" w:rsidRPr="00455494" w:rsidRDefault="00455494" w:rsidP="00217A3A">
      <w:pPr>
        <w:rPr>
          <w:rStyle w:val="xnormaltextrun"/>
          <w:rFonts w:asciiTheme="minorHAnsi" w:hAnsiTheme="minorHAnsi" w:cstheme="minorHAnsi"/>
          <w:szCs w:val="22"/>
        </w:rPr>
      </w:pPr>
      <w:r w:rsidRPr="00217A3A">
        <w:rPr>
          <w:rFonts w:eastAsiaTheme="minorEastAsia"/>
          <w:i/>
          <w:iCs/>
        </w:rPr>
        <w:t>Medezeggenschap</w:t>
      </w:r>
      <w:r w:rsidRPr="00217A3A">
        <w:rPr>
          <w:rFonts w:eastAsiaTheme="minorEastAsia"/>
          <w:i/>
          <w:iCs/>
        </w:rPr>
        <w:br/>
      </w:r>
      <w:r>
        <w:rPr>
          <w:rFonts w:eastAsiaTheme="minorEastAsia"/>
        </w:rPr>
        <w:t>Vanuit de Ondernemingsraad (OR) zijn in 2022 voor de komende periode drie speerpunten benoemd, te weten: vitaliteit, integriteit en werken na Corona</w:t>
      </w:r>
      <w:r w:rsidRPr="00455494">
        <w:rPr>
          <w:rFonts w:eastAsiaTheme="minorEastAsia" w:cstheme="minorHAnsi"/>
        </w:rPr>
        <w:t xml:space="preserve">. </w:t>
      </w:r>
      <w:r w:rsidRPr="00455494">
        <w:rPr>
          <w:rStyle w:val="xnormaltextrun"/>
          <w:rFonts w:asciiTheme="minorHAnsi" w:hAnsiTheme="minorHAnsi" w:cstheme="minorHAnsi"/>
        </w:rPr>
        <w:t>De WOR-overleggen worden benut om elkaar te informeren over de organisatie ontwikkeling en beleving, de jaarplanning en (begrotings)activiteiten. Tevens worden deze benut om de onderwerpen voor advies en instemming tijdig te agenderen. Daarnaast zal regulier een artikel 24 overleg blijven worden gehouden. De onderlinge relatie en communicatie is goed. Aandacht gaat uit naar tijdige onderlinge afstemming en communicatie om ieders rol goed te kunnen pakken.</w:t>
      </w:r>
    </w:p>
    <w:p w14:paraId="521C5343" w14:textId="53166214" w:rsidR="00455494" w:rsidRPr="00455494" w:rsidRDefault="00455494" w:rsidP="00217A3A">
      <w:pPr>
        <w:rPr>
          <w:rFonts w:eastAsiaTheme="minorEastAsia" w:cstheme="minorHAnsi"/>
        </w:rPr>
      </w:pPr>
      <w:r w:rsidRPr="00455494">
        <w:rPr>
          <w:rStyle w:val="xnormaltextrun"/>
          <w:rFonts w:asciiTheme="minorHAnsi" w:hAnsiTheme="minorHAnsi" w:cstheme="minorHAnsi"/>
        </w:rPr>
        <w:t>De komende periode ligt vanuit de OR de nadruk op het personeelsbeleid. Dit vanwege een vergrijzend personeelsbestand, waardoor risico’s kunnen ontstaan in de overdracht van kennis en kunde. Daarnaast vanwege de krappe arbeidsmarkt, waarbij het niet alleen lastig is om nieuw personeel te werven maar ook om collega's te behouden. Om nieuw personeel te enthousiasmeren en het zittende personeel te behouden, is het bieden van doorontwikkeling voor personeel een vereiste. De OR maakt zich hard voor meer vitaliteit bij de medewerkers, maar ook voor een vitalere organisatie</w:t>
      </w:r>
      <w:r>
        <w:rPr>
          <w:rStyle w:val="xnormaltextrun"/>
          <w:rFonts w:asciiTheme="minorHAnsi" w:hAnsiTheme="minorHAnsi" w:cstheme="minorHAnsi"/>
        </w:rPr>
        <w:t>.</w:t>
      </w:r>
    </w:p>
    <w:p w14:paraId="5675E486" w14:textId="1DBDFA9E" w:rsidR="006218C8" w:rsidRDefault="006218C8">
      <w:pPr>
        <w:spacing w:after="200" w:line="276" w:lineRule="auto"/>
        <w:rPr>
          <w:rFonts w:asciiTheme="minorHAnsi" w:hAnsiTheme="minorHAnsi" w:cstheme="minorHAnsi"/>
        </w:rPr>
      </w:pPr>
    </w:p>
    <w:p w14:paraId="4A4409A2" w14:textId="77777777" w:rsidR="008769BA" w:rsidRDefault="008769BA">
      <w:pPr>
        <w:spacing w:after="200" w:line="276" w:lineRule="auto"/>
        <w:rPr>
          <w:rFonts w:asciiTheme="minorHAnsi" w:hAnsiTheme="minorHAnsi" w:cs="Arial"/>
          <w:bCs/>
          <w:color w:val="E10E49"/>
          <w:kern w:val="32"/>
          <w:sz w:val="32"/>
          <w:szCs w:val="32"/>
        </w:rPr>
      </w:pPr>
      <w:r>
        <w:br w:type="page"/>
      </w:r>
    </w:p>
    <w:p w14:paraId="1C443ABF" w14:textId="09061AEF" w:rsidR="006218C8" w:rsidRDefault="6F850257" w:rsidP="6F850257">
      <w:pPr>
        <w:pStyle w:val="Kop1"/>
        <w:rPr>
          <w:rStyle w:val="Voetnootmarkering"/>
        </w:rPr>
      </w:pPr>
      <w:bookmarkStart w:id="35" w:name="_Toc121747484"/>
      <w:r>
        <w:lastRenderedPageBreak/>
        <w:t>5. Financiële kaders</w:t>
      </w:r>
      <w:bookmarkEnd w:id="35"/>
    </w:p>
    <w:p w14:paraId="3901582F" w14:textId="77777777" w:rsidR="006218C8" w:rsidRPr="006961D2" w:rsidRDefault="006218C8" w:rsidP="006218C8">
      <w:pPr>
        <w:rPr>
          <w:rFonts w:asciiTheme="minorHAnsi" w:hAnsiTheme="minorHAnsi" w:cstheme="minorHAnsi"/>
        </w:rPr>
      </w:pPr>
    </w:p>
    <w:p w14:paraId="274CCB4F" w14:textId="522B8DC6" w:rsidR="0018311C" w:rsidRPr="0018311C" w:rsidRDefault="0018311C" w:rsidP="0018311C">
      <w:pPr>
        <w:rPr>
          <w:rFonts w:asciiTheme="minorHAnsi" w:hAnsiTheme="minorHAnsi" w:cstheme="minorHAnsi"/>
          <w:szCs w:val="20"/>
        </w:rPr>
      </w:pPr>
      <w:r w:rsidRPr="0018311C">
        <w:rPr>
          <w:rFonts w:asciiTheme="minorHAnsi" w:hAnsiTheme="minorHAnsi" w:cstheme="minorHAnsi"/>
          <w:szCs w:val="20"/>
        </w:rPr>
        <w:t>Dit hoofdstuk bevat de financiële kaders zoals BghU die hanteert bij het opstellen van de begroting 202</w:t>
      </w:r>
      <w:r w:rsidR="00E27897">
        <w:rPr>
          <w:rFonts w:asciiTheme="minorHAnsi" w:hAnsiTheme="minorHAnsi" w:cstheme="minorHAnsi"/>
          <w:szCs w:val="20"/>
        </w:rPr>
        <w:t>4</w:t>
      </w:r>
      <w:r w:rsidRPr="0018311C">
        <w:rPr>
          <w:rFonts w:asciiTheme="minorHAnsi" w:hAnsiTheme="minorHAnsi" w:cstheme="minorHAnsi"/>
          <w:szCs w:val="20"/>
        </w:rPr>
        <w:t xml:space="preserve"> en het meerjarenperspectief 202</w:t>
      </w:r>
      <w:r w:rsidR="00E27897">
        <w:rPr>
          <w:rFonts w:asciiTheme="minorHAnsi" w:hAnsiTheme="minorHAnsi" w:cstheme="minorHAnsi"/>
          <w:szCs w:val="20"/>
        </w:rPr>
        <w:t>5</w:t>
      </w:r>
      <w:r w:rsidRPr="0018311C">
        <w:rPr>
          <w:rFonts w:asciiTheme="minorHAnsi" w:hAnsiTheme="minorHAnsi" w:cstheme="minorHAnsi"/>
          <w:szCs w:val="20"/>
        </w:rPr>
        <w:t>-202</w:t>
      </w:r>
      <w:r w:rsidR="00E27897">
        <w:rPr>
          <w:rFonts w:asciiTheme="minorHAnsi" w:hAnsiTheme="minorHAnsi" w:cstheme="minorHAnsi"/>
          <w:szCs w:val="20"/>
        </w:rPr>
        <w:t>7</w:t>
      </w:r>
      <w:r w:rsidRPr="0018311C">
        <w:rPr>
          <w:rFonts w:asciiTheme="minorHAnsi" w:hAnsiTheme="minorHAnsi" w:cstheme="minorHAnsi"/>
          <w:szCs w:val="20"/>
        </w:rPr>
        <w:t>. De kaderstelling is daarmee leidend bij de totstandkoming van de begroting voor 202</w:t>
      </w:r>
      <w:r w:rsidR="00E27897">
        <w:rPr>
          <w:rFonts w:asciiTheme="minorHAnsi" w:hAnsiTheme="minorHAnsi" w:cstheme="minorHAnsi"/>
          <w:szCs w:val="20"/>
        </w:rPr>
        <w:t>4</w:t>
      </w:r>
      <w:r w:rsidRPr="0018311C">
        <w:rPr>
          <w:rFonts w:asciiTheme="minorHAnsi" w:hAnsiTheme="minorHAnsi" w:cstheme="minorHAnsi"/>
          <w:szCs w:val="20"/>
        </w:rPr>
        <w:t xml:space="preserve">. </w:t>
      </w:r>
    </w:p>
    <w:p w14:paraId="48204FC5" w14:textId="77777777" w:rsidR="0018311C" w:rsidRPr="0018311C" w:rsidRDefault="0018311C" w:rsidP="0018311C">
      <w:pPr>
        <w:rPr>
          <w:rFonts w:asciiTheme="minorHAnsi" w:hAnsiTheme="minorHAnsi" w:cstheme="minorHAnsi"/>
          <w:szCs w:val="20"/>
        </w:rPr>
      </w:pPr>
    </w:p>
    <w:p w14:paraId="1AA109A4" w14:textId="320B2756" w:rsidR="0018311C" w:rsidRPr="0018311C" w:rsidRDefault="0018311C" w:rsidP="0018311C">
      <w:pPr>
        <w:rPr>
          <w:rFonts w:asciiTheme="minorHAnsi" w:hAnsiTheme="minorHAnsi" w:cstheme="minorHAnsi"/>
          <w:szCs w:val="20"/>
        </w:rPr>
      </w:pPr>
      <w:r w:rsidRPr="0018311C">
        <w:rPr>
          <w:rFonts w:asciiTheme="minorHAnsi" w:hAnsiTheme="minorHAnsi" w:cstheme="minorHAnsi"/>
          <w:szCs w:val="20"/>
        </w:rPr>
        <w:t>De volgende uitgangspunten zijn van toepassing bij het opstellen van de begroting BghU 202</w:t>
      </w:r>
      <w:r w:rsidR="003A170B">
        <w:rPr>
          <w:rFonts w:asciiTheme="minorHAnsi" w:hAnsiTheme="minorHAnsi" w:cstheme="minorHAnsi"/>
          <w:szCs w:val="20"/>
        </w:rPr>
        <w:t>4</w:t>
      </w:r>
      <w:r w:rsidRPr="0018311C">
        <w:rPr>
          <w:rFonts w:asciiTheme="minorHAnsi" w:hAnsiTheme="minorHAnsi" w:cstheme="minorHAnsi"/>
          <w:szCs w:val="20"/>
        </w:rPr>
        <w:t xml:space="preserve"> en het meerjarenperspectief 202</w:t>
      </w:r>
      <w:r w:rsidR="003A170B">
        <w:rPr>
          <w:rFonts w:asciiTheme="minorHAnsi" w:hAnsiTheme="minorHAnsi" w:cstheme="minorHAnsi"/>
          <w:szCs w:val="20"/>
        </w:rPr>
        <w:t>5</w:t>
      </w:r>
      <w:r w:rsidRPr="0018311C">
        <w:rPr>
          <w:rFonts w:asciiTheme="minorHAnsi" w:hAnsiTheme="minorHAnsi" w:cstheme="minorHAnsi"/>
          <w:szCs w:val="20"/>
        </w:rPr>
        <w:t>-202</w:t>
      </w:r>
      <w:r w:rsidR="003A170B">
        <w:rPr>
          <w:rFonts w:asciiTheme="minorHAnsi" w:hAnsiTheme="minorHAnsi" w:cstheme="minorHAnsi"/>
          <w:szCs w:val="20"/>
        </w:rPr>
        <w:t>7</w:t>
      </w:r>
      <w:r w:rsidRPr="0018311C">
        <w:rPr>
          <w:rFonts w:asciiTheme="minorHAnsi" w:hAnsiTheme="minorHAnsi" w:cstheme="minorHAnsi"/>
          <w:szCs w:val="20"/>
        </w:rPr>
        <w:t xml:space="preserve">. </w:t>
      </w:r>
    </w:p>
    <w:p w14:paraId="2EFBA096" w14:textId="77777777" w:rsidR="0018311C" w:rsidRPr="0018311C" w:rsidRDefault="0018311C" w:rsidP="0018311C">
      <w:pPr>
        <w:rPr>
          <w:rFonts w:asciiTheme="minorHAnsi" w:hAnsiTheme="minorHAnsi" w:cstheme="minorHAnsi"/>
          <w:szCs w:val="20"/>
        </w:rPr>
      </w:pPr>
    </w:p>
    <w:tbl>
      <w:tblPr>
        <w:tblStyle w:val="Tabelraster"/>
        <w:tblW w:w="0" w:type="auto"/>
        <w:tblInd w:w="-5" w:type="dxa"/>
        <w:tblLook w:val="04A0" w:firstRow="1" w:lastRow="0" w:firstColumn="1" w:lastColumn="0" w:noHBand="0" w:noVBand="1"/>
      </w:tblPr>
      <w:tblGrid>
        <w:gridCol w:w="2229"/>
        <w:gridCol w:w="3581"/>
        <w:gridCol w:w="3257"/>
      </w:tblGrid>
      <w:tr w:rsidR="008C457D" w:rsidRPr="003A170B" w14:paraId="21F1CB3C" w14:textId="77777777" w:rsidTr="6F850257">
        <w:tc>
          <w:tcPr>
            <w:tcW w:w="2268" w:type="dxa"/>
          </w:tcPr>
          <w:p w14:paraId="064C6354" w14:textId="77777777" w:rsidR="0018311C" w:rsidRPr="00662635" w:rsidRDefault="0018311C" w:rsidP="0018311C">
            <w:pPr>
              <w:pStyle w:val="xmsolistparagraph"/>
              <w:ind w:left="0"/>
              <w:rPr>
                <w:rFonts w:asciiTheme="minorHAnsi" w:eastAsia="Times New Roman" w:hAnsiTheme="minorHAnsi" w:cstheme="minorHAnsi"/>
                <w:b/>
                <w:bCs/>
                <w:sz w:val="20"/>
                <w:szCs w:val="20"/>
              </w:rPr>
            </w:pPr>
            <w:r w:rsidRPr="00662635">
              <w:rPr>
                <w:rFonts w:asciiTheme="minorHAnsi" w:eastAsia="Times New Roman" w:hAnsiTheme="minorHAnsi" w:cstheme="minorHAnsi"/>
                <w:b/>
                <w:bCs/>
                <w:sz w:val="20"/>
                <w:szCs w:val="20"/>
              </w:rPr>
              <w:t>Onderwerp</w:t>
            </w:r>
          </w:p>
        </w:tc>
        <w:tc>
          <w:tcPr>
            <w:tcW w:w="3686" w:type="dxa"/>
          </w:tcPr>
          <w:p w14:paraId="3B8B2FE9" w14:textId="77777777" w:rsidR="0018311C" w:rsidRPr="00662635" w:rsidRDefault="0018311C" w:rsidP="0018311C">
            <w:pPr>
              <w:pStyle w:val="xmsolistparagraph"/>
              <w:ind w:left="0"/>
              <w:rPr>
                <w:rFonts w:asciiTheme="minorHAnsi" w:eastAsia="Times New Roman" w:hAnsiTheme="minorHAnsi" w:cstheme="minorHAnsi"/>
                <w:b/>
                <w:bCs/>
                <w:sz w:val="20"/>
                <w:szCs w:val="20"/>
              </w:rPr>
            </w:pPr>
            <w:r w:rsidRPr="00662635">
              <w:rPr>
                <w:rFonts w:asciiTheme="minorHAnsi" w:eastAsia="Times New Roman" w:hAnsiTheme="minorHAnsi" w:cstheme="minorHAnsi"/>
                <w:b/>
                <w:bCs/>
                <w:sz w:val="20"/>
                <w:szCs w:val="20"/>
              </w:rPr>
              <w:t>Uitgangspunt</w:t>
            </w:r>
          </w:p>
        </w:tc>
        <w:tc>
          <w:tcPr>
            <w:tcW w:w="3340" w:type="dxa"/>
          </w:tcPr>
          <w:p w14:paraId="65B9BF6E" w14:textId="77777777" w:rsidR="0018311C" w:rsidRPr="00662635" w:rsidRDefault="0018311C" w:rsidP="0018311C">
            <w:pPr>
              <w:pStyle w:val="xmsolistparagraph"/>
              <w:ind w:left="0"/>
              <w:rPr>
                <w:rFonts w:asciiTheme="minorHAnsi" w:eastAsia="Times New Roman" w:hAnsiTheme="minorHAnsi" w:cstheme="minorHAnsi"/>
                <w:b/>
                <w:bCs/>
                <w:sz w:val="20"/>
                <w:szCs w:val="20"/>
              </w:rPr>
            </w:pPr>
            <w:r w:rsidRPr="00662635">
              <w:rPr>
                <w:rFonts w:asciiTheme="minorHAnsi" w:eastAsia="Times New Roman" w:hAnsiTheme="minorHAnsi" w:cstheme="minorHAnsi"/>
                <w:b/>
                <w:bCs/>
                <w:sz w:val="20"/>
                <w:szCs w:val="20"/>
              </w:rPr>
              <w:t xml:space="preserve">Uitwerking </w:t>
            </w:r>
          </w:p>
        </w:tc>
      </w:tr>
      <w:tr w:rsidR="008C457D" w:rsidRPr="003A170B" w14:paraId="0874E1DA" w14:textId="77777777" w:rsidTr="6F850257">
        <w:tc>
          <w:tcPr>
            <w:tcW w:w="2268" w:type="dxa"/>
          </w:tcPr>
          <w:p w14:paraId="540E8254" w14:textId="77777777" w:rsidR="0018311C" w:rsidRPr="003A170B" w:rsidRDefault="6F850257" w:rsidP="6F850257">
            <w:pPr>
              <w:pStyle w:val="xmsolistparagraph"/>
              <w:ind w:left="0"/>
              <w:rPr>
                <w:rFonts w:asciiTheme="minorHAnsi" w:eastAsia="Times New Roman" w:hAnsiTheme="minorHAnsi" w:cstheme="minorBidi"/>
                <w:sz w:val="20"/>
                <w:szCs w:val="20"/>
              </w:rPr>
            </w:pPr>
            <w:r w:rsidRPr="6F850257">
              <w:rPr>
                <w:rFonts w:asciiTheme="minorHAnsi" w:eastAsia="Times New Roman" w:hAnsiTheme="minorHAnsi" w:cstheme="minorBidi"/>
                <w:sz w:val="20"/>
                <w:szCs w:val="20"/>
              </w:rPr>
              <w:t xml:space="preserve">Raming personeelslasten </w:t>
            </w:r>
          </w:p>
        </w:tc>
        <w:tc>
          <w:tcPr>
            <w:tcW w:w="3686" w:type="dxa"/>
          </w:tcPr>
          <w:p w14:paraId="5C58B6BB" w14:textId="33B988A1" w:rsidR="0018311C" w:rsidRPr="003A170B" w:rsidRDefault="6F850257" w:rsidP="6F850257">
            <w:pPr>
              <w:pStyle w:val="xmsolistparagraph"/>
              <w:ind w:left="0"/>
              <w:rPr>
                <w:rFonts w:asciiTheme="minorHAnsi" w:eastAsia="Times New Roman" w:hAnsiTheme="minorHAnsi" w:cstheme="minorBidi"/>
                <w:sz w:val="20"/>
                <w:szCs w:val="20"/>
              </w:rPr>
            </w:pPr>
            <w:r w:rsidRPr="6F850257">
              <w:rPr>
                <w:rFonts w:asciiTheme="minorHAnsi" w:eastAsia="Times New Roman" w:hAnsiTheme="minorHAnsi" w:cstheme="minorBidi"/>
                <w:sz w:val="20"/>
                <w:szCs w:val="20"/>
              </w:rPr>
              <w:t>Loonsom 2024 wordt geïndexeerd met 4%, de loonsom 2025-</w:t>
            </w:r>
            <w:r w:rsidRPr="00D04CF4">
              <w:rPr>
                <w:rFonts w:asciiTheme="minorHAnsi" w:eastAsia="Times New Roman" w:hAnsiTheme="minorHAnsi" w:cstheme="minorBidi"/>
                <w:sz w:val="20"/>
                <w:szCs w:val="20"/>
              </w:rPr>
              <w:t xml:space="preserve">2027 met </w:t>
            </w:r>
            <w:r w:rsidR="005B0CF1" w:rsidRPr="00D04CF4">
              <w:rPr>
                <w:rFonts w:asciiTheme="minorHAnsi" w:eastAsia="Times New Roman" w:hAnsiTheme="minorHAnsi" w:cstheme="minorBidi"/>
                <w:sz w:val="20"/>
                <w:szCs w:val="20"/>
              </w:rPr>
              <w:t>percentages conform CPB (3,3%, 3,1% en 3,1%).</w:t>
            </w:r>
            <w:r w:rsidRPr="00D04CF4">
              <w:rPr>
                <w:rFonts w:asciiTheme="minorHAnsi" w:eastAsia="Times New Roman" w:hAnsiTheme="minorHAnsi" w:cstheme="minorBidi"/>
                <w:sz w:val="20"/>
                <w:szCs w:val="20"/>
              </w:rPr>
              <w:t xml:space="preserve"> Formatie wordt begroot op basis van formatieplaatsen (129</w:t>
            </w:r>
            <w:r w:rsidRPr="6F850257">
              <w:rPr>
                <w:rFonts w:asciiTheme="minorHAnsi" w:eastAsia="Times New Roman" w:hAnsiTheme="minorHAnsi" w:cstheme="minorBidi"/>
                <w:sz w:val="20"/>
                <w:szCs w:val="20"/>
              </w:rPr>
              <w:t xml:space="preserve"> FTE, plus € 180.000 vrij inhuur budget) en het max van de schaal. Bezettingsvoordelen in de formatie mogen door het management ingezet worden om in te huren. </w:t>
            </w:r>
          </w:p>
          <w:p w14:paraId="4BAABFEF" w14:textId="5FFD1D6C" w:rsidR="0018311C" w:rsidRPr="003A170B" w:rsidRDefault="6F850257" w:rsidP="6F850257">
            <w:pPr>
              <w:pStyle w:val="xmsolistparagraph"/>
              <w:ind w:left="0"/>
              <w:rPr>
                <w:rFonts w:asciiTheme="minorHAnsi" w:eastAsia="Times New Roman" w:hAnsiTheme="minorHAnsi" w:cstheme="minorBidi"/>
                <w:sz w:val="20"/>
                <w:szCs w:val="20"/>
              </w:rPr>
            </w:pPr>
            <w:r w:rsidRPr="6F850257">
              <w:rPr>
                <w:rFonts w:asciiTheme="minorHAnsi" w:eastAsia="Times New Roman" w:hAnsiTheme="minorHAnsi" w:cstheme="minorBidi"/>
                <w:sz w:val="20"/>
                <w:szCs w:val="20"/>
              </w:rPr>
              <w:t>Deze indexering is onder voorbehoud dat de hoge inflatie van dit moment na 2023 weer redelijk onder controle is.</w:t>
            </w:r>
          </w:p>
        </w:tc>
        <w:tc>
          <w:tcPr>
            <w:tcW w:w="3340" w:type="dxa"/>
          </w:tcPr>
          <w:p w14:paraId="7092117B" w14:textId="77777777" w:rsidR="0018311C" w:rsidRPr="003A170B" w:rsidRDefault="6F850257" w:rsidP="6F850257">
            <w:pPr>
              <w:pStyle w:val="xmsolistparagraph"/>
              <w:ind w:left="0"/>
              <w:rPr>
                <w:rFonts w:asciiTheme="minorHAnsi" w:eastAsia="Times New Roman" w:hAnsiTheme="minorHAnsi" w:cstheme="minorBidi"/>
                <w:sz w:val="20"/>
                <w:szCs w:val="20"/>
              </w:rPr>
            </w:pPr>
            <w:r w:rsidRPr="6F850257">
              <w:rPr>
                <w:rFonts w:asciiTheme="minorHAnsi" w:eastAsia="Times New Roman" w:hAnsiTheme="minorHAnsi" w:cstheme="minorBidi"/>
                <w:sz w:val="20"/>
                <w:szCs w:val="20"/>
              </w:rPr>
              <w:t xml:space="preserve">Zie de toelichting onderaan de tabel voor hoe BghU deze index toepast. </w:t>
            </w:r>
          </w:p>
          <w:p w14:paraId="2EB59DD6" w14:textId="77777777" w:rsidR="0018311C" w:rsidRPr="003A170B" w:rsidRDefault="0018311C" w:rsidP="6F850257">
            <w:pPr>
              <w:pStyle w:val="xmsolistparagraph"/>
              <w:ind w:left="0"/>
              <w:rPr>
                <w:rFonts w:asciiTheme="minorHAnsi" w:eastAsia="Times New Roman" w:hAnsiTheme="minorHAnsi" w:cstheme="minorBidi"/>
                <w:sz w:val="20"/>
                <w:szCs w:val="20"/>
              </w:rPr>
            </w:pPr>
          </w:p>
        </w:tc>
      </w:tr>
      <w:tr w:rsidR="008C457D" w:rsidRPr="003A170B" w14:paraId="73A87855" w14:textId="77777777" w:rsidTr="6F850257">
        <w:tc>
          <w:tcPr>
            <w:tcW w:w="2268" w:type="dxa"/>
          </w:tcPr>
          <w:p w14:paraId="07092A23" w14:textId="77777777" w:rsidR="0018311C" w:rsidRPr="003A170B" w:rsidRDefault="6F850257" w:rsidP="6F850257">
            <w:pPr>
              <w:pStyle w:val="xmsolistparagraph"/>
              <w:ind w:left="0"/>
              <w:rPr>
                <w:rFonts w:asciiTheme="minorHAnsi" w:eastAsia="Times New Roman" w:hAnsiTheme="minorHAnsi" w:cstheme="minorBidi"/>
                <w:sz w:val="20"/>
                <w:szCs w:val="20"/>
              </w:rPr>
            </w:pPr>
            <w:r w:rsidRPr="6F850257">
              <w:rPr>
                <w:rFonts w:asciiTheme="minorHAnsi" w:eastAsia="Times New Roman" w:hAnsiTheme="minorHAnsi" w:cstheme="minorBidi"/>
                <w:sz w:val="20"/>
                <w:szCs w:val="20"/>
              </w:rPr>
              <w:t>Raming materiële lasten</w:t>
            </w:r>
          </w:p>
        </w:tc>
        <w:tc>
          <w:tcPr>
            <w:tcW w:w="3686" w:type="dxa"/>
          </w:tcPr>
          <w:p w14:paraId="05A22E33" w14:textId="5EC31B67" w:rsidR="0018311C" w:rsidRPr="003A170B" w:rsidRDefault="6F850257" w:rsidP="6F850257">
            <w:pPr>
              <w:pStyle w:val="xmsolistparagraph"/>
              <w:ind w:left="0"/>
              <w:rPr>
                <w:rFonts w:asciiTheme="minorHAnsi" w:eastAsia="Times New Roman" w:hAnsiTheme="minorHAnsi" w:cstheme="minorBidi"/>
                <w:sz w:val="20"/>
                <w:szCs w:val="20"/>
              </w:rPr>
            </w:pPr>
            <w:r w:rsidRPr="6F850257">
              <w:rPr>
                <w:rFonts w:asciiTheme="minorHAnsi" w:eastAsia="Times New Roman" w:hAnsiTheme="minorHAnsi" w:cstheme="minorBidi"/>
                <w:sz w:val="20"/>
                <w:szCs w:val="20"/>
              </w:rPr>
              <w:t xml:space="preserve">Totale materiële lasten indexeert BghU </w:t>
            </w:r>
            <w:r w:rsidR="00CF6D08">
              <w:rPr>
                <w:rFonts w:asciiTheme="minorHAnsi" w:eastAsia="Times New Roman" w:hAnsiTheme="minorHAnsi" w:cstheme="minorBidi"/>
                <w:sz w:val="20"/>
                <w:szCs w:val="20"/>
              </w:rPr>
              <w:t xml:space="preserve">voor 2024 op 4% vanwege een verwachte inflatiecorrectie door leveranciers en de </w:t>
            </w:r>
            <w:r w:rsidR="00CF6D08" w:rsidRPr="00D04CF4">
              <w:rPr>
                <w:rFonts w:asciiTheme="minorHAnsi" w:eastAsia="Times New Roman" w:hAnsiTheme="minorHAnsi" w:cstheme="minorBidi"/>
                <w:sz w:val="20"/>
                <w:szCs w:val="20"/>
              </w:rPr>
              <w:t>opvolgende jaren 2025-2027</w:t>
            </w:r>
            <w:r w:rsidR="00D04CF4">
              <w:rPr>
                <w:rFonts w:asciiTheme="minorHAnsi" w:eastAsia="Times New Roman" w:hAnsiTheme="minorHAnsi" w:cstheme="minorBidi"/>
                <w:strike/>
                <w:sz w:val="20"/>
                <w:szCs w:val="20"/>
              </w:rPr>
              <w:t xml:space="preserve"> </w:t>
            </w:r>
            <w:r w:rsidRPr="00D04CF4">
              <w:rPr>
                <w:rFonts w:asciiTheme="minorHAnsi" w:eastAsia="Times New Roman" w:hAnsiTheme="minorHAnsi" w:cstheme="minorBidi"/>
                <w:sz w:val="20"/>
                <w:szCs w:val="20"/>
              </w:rPr>
              <w:t>op basis van</w:t>
            </w:r>
            <w:r w:rsidR="00CF6D08" w:rsidRPr="00D04CF4">
              <w:rPr>
                <w:rFonts w:asciiTheme="minorHAnsi" w:eastAsia="Times New Roman" w:hAnsiTheme="minorHAnsi" w:cstheme="minorBidi"/>
                <w:sz w:val="20"/>
                <w:szCs w:val="20"/>
              </w:rPr>
              <w:t xml:space="preserve"> de cijfers van het CPB</w:t>
            </w:r>
            <w:r w:rsidRPr="00D04CF4">
              <w:rPr>
                <w:rFonts w:asciiTheme="minorHAnsi" w:eastAsia="Times New Roman" w:hAnsiTheme="minorHAnsi" w:cstheme="minorBidi"/>
                <w:sz w:val="20"/>
                <w:szCs w:val="20"/>
              </w:rPr>
              <w:t xml:space="preserve">. </w:t>
            </w:r>
            <w:r w:rsidR="0018311C" w:rsidRPr="00D04CF4">
              <w:br/>
            </w:r>
            <w:r w:rsidRPr="00D04CF4">
              <w:rPr>
                <w:rFonts w:asciiTheme="minorHAnsi" w:eastAsia="Times New Roman" w:hAnsiTheme="minorHAnsi" w:cstheme="minorBidi"/>
                <w:sz w:val="20"/>
                <w:szCs w:val="20"/>
              </w:rPr>
              <w:t>Deze indexering is onder voorbehoud</w:t>
            </w:r>
            <w:r w:rsidRPr="6F850257">
              <w:rPr>
                <w:rFonts w:asciiTheme="minorHAnsi" w:eastAsia="Times New Roman" w:hAnsiTheme="minorHAnsi" w:cstheme="minorBidi"/>
                <w:sz w:val="20"/>
                <w:szCs w:val="20"/>
              </w:rPr>
              <w:t xml:space="preserve"> dat de hoge inflatie van dit moment na 2023 weer redelijk onder controle is. </w:t>
            </w:r>
          </w:p>
        </w:tc>
        <w:tc>
          <w:tcPr>
            <w:tcW w:w="3340" w:type="dxa"/>
          </w:tcPr>
          <w:p w14:paraId="39D317D2" w14:textId="77777777" w:rsidR="0018311C" w:rsidRPr="003A170B" w:rsidRDefault="6F850257" w:rsidP="6F850257">
            <w:pPr>
              <w:pStyle w:val="xmsolistparagraph"/>
              <w:ind w:left="0"/>
              <w:rPr>
                <w:rFonts w:asciiTheme="minorHAnsi" w:eastAsia="Times New Roman" w:hAnsiTheme="minorHAnsi" w:cstheme="minorBidi"/>
                <w:sz w:val="20"/>
                <w:szCs w:val="20"/>
              </w:rPr>
            </w:pPr>
            <w:r w:rsidRPr="6F850257">
              <w:rPr>
                <w:rFonts w:asciiTheme="minorHAnsi" w:eastAsia="Times New Roman" w:hAnsiTheme="minorHAnsi" w:cstheme="minorBidi"/>
                <w:sz w:val="20"/>
                <w:szCs w:val="20"/>
              </w:rPr>
              <w:t xml:space="preserve">Jaarlijkse stijging van de totaal beschikbare som voor materiële lasten. </w:t>
            </w:r>
          </w:p>
          <w:p w14:paraId="72459D17" w14:textId="77777777" w:rsidR="0018311C" w:rsidRPr="003A170B" w:rsidRDefault="0018311C" w:rsidP="6F850257">
            <w:pPr>
              <w:pStyle w:val="xmsolistparagraph"/>
              <w:ind w:left="0"/>
              <w:rPr>
                <w:rFonts w:asciiTheme="minorHAnsi" w:eastAsia="Times New Roman" w:hAnsiTheme="minorHAnsi" w:cstheme="minorBidi"/>
                <w:sz w:val="20"/>
                <w:szCs w:val="20"/>
              </w:rPr>
            </w:pPr>
          </w:p>
        </w:tc>
      </w:tr>
      <w:tr w:rsidR="008C457D" w:rsidRPr="003A170B" w14:paraId="09B3F6F3" w14:textId="77777777" w:rsidTr="6F850257">
        <w:tc>
          <w:tcPr>
            <w:tcW w:w="2268" w:type="dxa"/>
          </w:tcPr>
          <w:p w14:paraId="211D542F" w14:textId="77777777" w:rsidR="0018311C" w:rsidRPr="003A170B" w:rsidRDefault="6F850257" w:rsidP="6F850257">
            <w:pPr>
              <w:pStyle w:val="xmsolistparagraph"/>
              <w:ind w:left="0"/>
              <w:rPr>
                <w:rFonts w:asciiTheme="minorHAnsi" w:eastAsia="Times New Roman" w:hAnsiTheme="minorHAnsi" w:cstheme="minorBidi"/>
                <w:sz w:val="20"/>
                <w:szCs w:val="20"/>
              </w:rPr>
            </w:pPr>
            <w:r w:rsidRPr="6F850257">
              <w:rPr>
                <w:rFonts w:asciiTheme="minorHAnsi" w:eastAsia="Times New Roman" w:hAnsiTheme="minorHAnsi" w:cstheme="minorBidi"/>
                <w:sz w:val="20"/>
                <w:szCs w:val="20"/>
              </w:rPr>
              <w:t>Raming investeringen</w:t>
            </w:r>
          </w:p>
        </w:tc>
        <w:tc>
          <w:tcPr>
            <w:tcW w:w="3686" w:type="dxa"/>
          </w:tcPr>
          <w:p w14:paraId="360DC48C" w14:textId="1CE7629D" w:rsidR="0018311C" w:rsidRPr="003A170B" w:rsidRDefault="6F850257" w:rsidP="6F850257">
            <w:pPr>
              <w:pStyle w:val="xmsolistparagraph"/>
              <w:ind w:left="0"/>
              <w:rPr>
                <w:rFonts w:asciiTheme="minorHAnsi" w:eastAsia="Times New Roman" w:hAnsiTheme="minorHAnsi" w:cstheme="minorBidi"/>
                <w:sz w:val="20"/>
                <w:szCs w:val="20"/>
              </w:rPr>
            </w:pPr>
            <w:r w:rsidRPr="6F850257">
              <w:rPr>
                <w:rFonts w:asciiTheme="minorHAnsi" w:eastAsia="Times New Roman" w:hAnsiTheme="minorHAnsi" w:cstheme="minorBidi"/>
                <w:sz w:val="20"/>
                <w:szCs w:val="20"/>
              </w:rPr>
              <w:t xml:space="preserve">Investeringen worden apart geraamd en via een apart investeringsvoorstel besloten. </w:t>
            </w:r>
          </w:p>
          <w:p w14:paraId="4F6A2F5C" w14:textId="77777777" w:rsidR="0018311C" w:rsidRPr="003A170B" w:rsidRDefault="0018311C" w:rsidP="6F850257">
            <w:pPr>
              <w:pStyle w:val="xmsolistparagraph"/>
              <w:ind w:left="0"/>
              <w:rPr>
                <w:rFonts w:asciiTheme="minorHAnsi" w:eastAsia="Times New Roman" w:hAnsiTheme="minorHAnsi" w:cstheme="minorBidi"/>
                <w:sz w:val="20"/>
                <w:szCs w:val="20"/>
              </w:rPr>
            </w:pPr>
          </w:p>
        </w:tc>
        <w:tc>
          <w:tcPr>
            <w:tcW w:w="3340" w:type="dxa"/>
          </w:tcPr>
          <w:p w14:paraId="37A7ADB8" w14:textId="341E9455" w:rsidR="0018311C" w:rsidRPr="003A170B" w:rsidRDefault="6F850257" w:rsidP="6F850257">
            <w:pPr>
              <w:pStyle w:val="xmsolistparagraph"/>
              <w:ind w:left="0"/>
              <w:rPr>
                <w:rFonts w:asciiTheme="minorHAnsi" w:eastAsia="Calibri" w:hAnsiTheme="minorHAnsi" w:cstheme="minorBidi"/>
                <w:sz w:val="20"/>
                <w:szCs w:val="20"/>
              </w:rPr>
            </w:pPr>
            <w:r w:rsidRPr="6F850257">
              <w:rPr>
                <w:rFonts w:asciiTheme="minorHAnsi" w:eastAsia="Times New Roman" w:hAnsiTheme="minorHAnsi" w:cstheme="minorBidi"/>
                <w:sz w:val="20"/>
                <w:szCs w:val="20"/>
              </w:rPr>
              <w:t xml:space="preserve">Vooralsnog zijn voor de periode 2024 tot en met 2027 geen grote investeringen voorzien. Mocht dit wel het geval zijn, dan wordt het investeringsbeleid gevolgd. </w:t>
            </w:r>
          </w:p>
          <w:p w14:paraId="36C048C1" w14:textId="6E8FF7F0" w:rsidR="00482588" w:rsidRPr="003A170B" w:rsidRDefault="00482588" w:rsidP="6F850257">
            <w:pPr>
              <w:pStyle w:val="xmsolistparagraph"/>
              <w:ind w:left="0"/>
              <w:rPr>
                <w:rFonts w:asciiTheme="minorHAnsi" w:eastAsia="Times New Roman" w:hAnsiTheme="minorHAnsi" w:cstheme="minorBidi"/>
                <w:sz w:val="20"/>
                <w:szCs w:val="20"/>
              </w:rPr>
            </w:pPr>
          </w:p>
        </w:tc>
      </w:tr>
      <w:tr w:rsidR="008C457D" w:rsidRPr="003A170B" w14:paraId="1B75CCAC" w14:textId="77777777" w:rsidTr="6F850257">
        <w:tc>
          <w:tcPr>
            <w:tcW w:w="2268" w:type="dxa"/>
          </w:tcPr>
          <w:p w14:paraId="58156BCB" w14:textId="77777777" w:rsidR="0018311C" w:rsidRPr="00D96771" w:rsidRDefault="0018311C" w:rsidP="0018311C">
            <w:pPr>
              <w:pStyle w:val="xmsolistparagraph"/>
              <w:ind w:left="0"/>
              <w:rPr>
                <w:rFonts w:asciiTheme="minorHAnsi" w:eastAsia="Times New Roman" w:hAnsiTheme="minorHAnsi" w:cstheme="minorHAnsi"/>
                <w:sz w:val="20"/>
                <w:szCs w:val="20"/>
              </w:rPr>
            </w:pPr>
            <w:r w:rsidRPr="00D96771">
              <w:rPr>
                <w:rFonts w:asciiTheme="minorHAnsi" w:eastAsia="Times New Roman" w:hAnsiTheme="minorHAnsi" w:cstheme="minorHAnsi"/>
                <w:sz w:val="20"/>
                <w:szCs w:val="20"/>
              </w:rPr>
              <w:t xml:space="preserve">Raming onvoorzien </w:t>
            </w:r>
          </w:p>
        </w:tc>
        <w:tc>
          <w:tcPr>
            <w:tcW w:w="3686" w:type="dxa"/>
          </w:tcPr>
          <w:p w14:paraId="48D52855" w14:textId="77777777" w:rsidR="0018311C" w:rsidRPr="00D96771" w:rsidRDefault="0018311C" w:rsidP="0018311C">
            <w:pPr>
              <w:pStyle w:val="xmsolistparagraph"/>
              <w:ind w:left="0"/>
              <w:rPr>
                <w:rFonts w:asciiTheme="minorHAnsi" w:eastAsia="Times New Roman" w:hAnsiTheme="minorHAnsi" w:cstheme="minorHAnsi"/>
                <w:sz w:val="20"/>
                <w:szCs w:val="20"/>
              </w:rPr>
            </w:pPr>
            <w:r w:rsidRPr="00D96771">
              <w:rPr>
                <w:rFonts w:asciiTheme="minorHAnsi" w:eastAsia="Times New Roman" w:hAnsiTheme="minorHAnsi" w:cstheme="minorHAnsi"/>
                <w:sz w:val="20"/>
                <w:szCs w:val="20"/>
              </w:rPr>
              <w:t xml:space="preserve">Jaarlijks raamt BghU € 100.000 voor onvoorziene kosten. De € 100.000 is expliciet zichtbaar en valt onder het programma ‘Overhead'.  </w:t>
            </w:r>
          </w:p>
        </w:tc>
        <w:tc>
          <w:tcPr>
            <w:tcW w:w="3340" w:type="dxa"/>
          </w:tcPr>
          <w:p w14:paraId="347919B3" w14:textId="77777777" w:rsidR="0018311C" w:rsidRPr="00D96771" w:rsidRDefault="0018311C" w:rsidP="0018311C">
            <w:pPr>
              <w:pStyle w:val="xmsolistparagraph"/>
              <w:ind w:left="0"/>
              <w:rPr>
                <w:rFonts w:asciiTheme="minorHAnsi" w:eastAsia="Times New Roman" w:hAnsiTheme="minorHAnsi" w:cstheme="minorHAnsi"/>
                <w:sz w:val="20"/>
                <w:szCs w:val="20"/>
              </w:rPr>
            </w:pPr>
            <w:r w:rsidRPr="00D96771">
              <w:rPr>
                <w:rFonts w:asciiTheme="minorHAnsi" w:eastAsia="Times New Roman" w:hAnsiTheme="minorHAnsi" w:cstheme="minorHAnsi"/>
                <w:sz w:val="20"/>
                <w:szCs w:val="20"/>
              </w:rPr>
              <w:t xml:space="preserve">Eventueel noodzakelijke aanwending van onvoorzien is onderdeel van de verantwoording middels de bestuursrapportages en de jaarrekening.  </w:t>
            </w:r>
          </w:p>
          <w:p w14:paraId="24DBB32F" w14:textId="77777777" w:rsidR="0018311C" w:rsidRPr="00D96771" w:rsidRDefault="0018311C" w:rsidP="0018311C">
            <w:pPr>
              <w:pStyle w:val="xmsolistparagraph"/>
              <w:ind w:left="0"/>
              <w:rPr>
                <w:rFonts w:asciiTheme="minorHAnsi" w:eastAsia="Times New Roman" w:hAnsiTheme="minorHAnsi" w:cstheme="minorHAnsi"/>
                <w:sz w:val="20"/>
                <w:szCs w:val="20"/>
              </w:rPr>
            </w:pPr>
          </w:p>
        </w:tc>
      </w:tr>
      <w:tr w:rsidR="008C457D" w:rsidRPr="003A170B" w14:paraId="374038A7" w14:textId="77777777" w:rsidTr="6F850257">
        <w:tc>
          <w:tcPr>
            <w:tcW w:w="2268" w:type="dxa"/>
          </w:tcPr>
          <w:p w14:paraId="1139979D" w14:textId="77777777" w:rsidR="0018311C" w:rsidRPr="00805934" w:rsidRDefault="0018311C" w:rsidP="0018311C">
            <w:pPr>
              <w:pStyle w:val="xmsolistparagraph"/>
              <w:ind w:left="0"/>
              <w:rPr>
                <w:rFonts w:asciiTheme="minorHAnsi" w:eastAsia="Times New Roman" w:hAnsiTheme="minorHAnsi" w:cstheme="minorHAnsi"/>
                <w:sz w:val="20"/>
                <w:szCs w:val="20"/>
              </w:rPr>
            </w:pPr>
            <w:r w:rsidRPr="00805934">
              <w:rPr>
                <w:rFonts w:asciiTheme="minorHAnsi" w:eastAsia="Times New Roman" w:hAnsiTheme="minorHAnsi" w:cstheme="minorHAnsi"/>
                <w:sz w:val="20"/>
                <w:szCs w:val="20"/>
              </w:rPr>
              <w:t>Financiering</w:t>
            </w:r>
          </w:p>
        </w:tc>
        <w:tc>
          <w:tcPr>
            <w:tcW w:w="3686" w:type="dxa"/>
          </w:tcPr>
          <w:p w14:paraId="697A0D31" w14:textId="77777777" w:rsidR="0018311C" w:rsidRPr="00805934" w:rsidRDefault="0018311C" w:rsidP="0018311C">
            <w:pPr>
              <w:pStyle w:val="xmsolistparagraph"/>
              <w:ind w:left="0"/>
              <w:rPr>
                <w:rFonts w:asciiTheme="minorHAnsi" w:eastAsia="Times New Roman" w:hAnsiTheme="minorHAnsi" w:cstheme="minorHAnsi"/>
                <w:sz w:val="20"/>
                <w:szCs w:val="20"/>
              </w:rPr>
            </w:pPr>
            <w:r w:rsidRPr="00805934">
              <w:rPr>
                <w:rFonts w:asciiTheme="minorHAnsi" w:eastAsia="Times New Roman" w:hAnsiTheme="minorHAnsi" w:cstheme="minorHAnsi"/>
                <w:sz w:val="20"/>
                <w:szCs w:val="20"/>
              </w:rPr>
              <w:t xml:space="preserve">Alleen voor investeringen kan BghU eventueel een langlopende lening aantrekken. Hiervoor is een bestuursbesluit vereist. </w:t>
            </w:r>
          </w:p>
        </w:tc>
        <w:tc>
          <w:tcPr>
            <w:tcW w:w="3340" w:type="dxa"/>
          </w:tcPr>
          <w:p w14:paraId="0A59029F" w14:textId="7E36ED92" w:rsidR="0018311C" w:rsidRPr="00805934" w:rsidRDefault="0018311C" w:rsidP="0018311C">
            <w:pPr>
              <w:pStyle w:val="xmsolistparagraph"/>
              <w:ind w:left="0"/>
              <w:rPr>
                <w:rFonts w:asciiTheme="minorHAnsi" w:eastAsia="Calibri" w:hAnsiTheme="minorHAnsi" w:cstheme="minorHAnsi"/>
                <w:sz w:val="20"/>
                <w:szCs w:val="20"/>
              </w:rPr>
            </w:pPr>
            <w:r w:rsidRPr="00805934">
              <w:rPr>
                <w:rFonts w:asciiTheme="minorHAnsi" w:eastAsia="Times New Roman" w:hAnsiTheme="minorHAnsi" w:cstheme="minorHAnsi"/>
                <w:sz w:val="20"/>
                <w:szCs w:val="20"/>
              </w:rPr>
              <w:t>Vooralsnog zijn voor de periode 202</w:t>
            </w:r>
            <w:r w:rsidR="00805934" w:rsidRPr="00805934">
              <w:rPr>
                <w:rFonts w:asciiTheme="minorHAnsi" w:eastAsia="Times New Roman" w:hAnsiTheme="minorHAnsi" w:cstheme="minorHAnsi"/>
                <w:sz w:val="20"/>
                <w:szCs w:val="20"/>
              </w:rPr>
              <w:t>4</w:t>
            </w:r>
            <w:r w:rsidRPr="00805934">
              <w:rPr>
                <w:rFonts w:asciiTheme="minorHAnsi" w:eastAsia="Times New Roman" w:hAnsiTheme="minorHAnsi" w:cstheme="minorHAnsi"/>
                <w:sz w:val="20"/>
                <w:szCs w:val="20"/>
              </w:rPr>
              <w:t xml:space="preserve"> tot en met 202</w:t>
            </w:r>
            <w:r w:rsidR="00805934" w:rsidRPr="00805934">
              <w:rPr>
                <w:rFonts w:asciiTheme="minorHAnsi" w:eastAsia="Times New Roman" w:hAnsiTheme="minorHAnsi" w:cstheme="minorHAnsi"/>
                <w:sz w:val="20"/>
                <w:szCs w:val="20"/>
              </w:rPr>
              <w:t>7</w:t>
            </w:r>
            <w:r w:rsidRPr="00805934">
              <w:rPr>
                <w:rFonts w:asciiTheme="minorHAnsi" w:eastAsia="Times New Roman" w:hAnsiTheme="minorHAnsi" w:cstheme="minorHAnsi"/>
                <w:sz w:val="20"/>
                <w:szCs w:val="20"/>
              </w:rPr>
              <w:t xml:space="preserve"> geen grote investeringen voorzien. Mocht dit wel het geval zijn, dan wordt het investeringsbeleid gevolgd.</w:t>
            </w:r>
          </w:p>
          <w:p w14:paraId="13C63DDE" w14:textId="77777777" w:rsidR="0018311C" w:rsidRPr="00805934" w:rsidRDefault="0018311C" w:rsidP="0018311C">
            <w:pPr>
              <w:pStyle w:val="xmsolistparagraph"/>
              <w:ind w:left="0"/>
              <w:rPr>
                <w:rFonts w:asciiTheme="minorHAnsi" w:eastAsia="Calibri" w:hAnsiTheme="minorHAnsi" w:cstheme="minorHAnsi"/>
                <w:sz w:val="20"/>
                <w:szCs w:val="20"/>
              </w:rPr>
            </w:pPr>
          </w:p>
        </w:tc>
      </w:tr>
      <w:tr w:rsidR="008C457D" w:rsidRPr="00805934" w14:paraId="0D3C3041" w14:textId="77777777" w:rsidTr="6F850257">
        <w:tc>
          <w:tcPr>
            <w:tcW w:w="2268" w:type="dxa"/>
          </w:tcPr>
          <w:p w14:paraId="35CA31B1" w14:textId="77777777" w:rsidR="0018311C" w:rsidRPr="00805934" w:rsidRDefault="0018311C" w:rsidP="0018311C">
            <w:pPr>
              <w:pStyle w:val="xmsolistparagraph"/>
              <w:ind w:left="0"/>
              <w:rPr>
                <w:rFonts w:asciiTheme="minorHAnsi" w:eastAsia="Times New Roman" w:hAnsiTheme="minorHAnsi" w:cstheme="minorHAnsi"/>
                <w:sz w:val="20"/>
                <w:szCs w:val="20"/>
              </w:rPr>
            </w:pPr>
            <w:r w:rsidRPr="00805934">
              <w:rPr>
                <w:rFonts w:asciiTheme="minorHAnsi" w:eastAsia="Times New Roman" w:hAnsiTheme="minorHAnsi" w:cstheme="minorHAnsi"/>
                <w:sz w:val="20"/>
                <w:szCs w:val="20"/>
              </w:rPr>
              <w:t>Belastingen</w:t>
            </w:r>
          </w:p>
        </w:tc>
        <w:tc>
          <w:tcPr>
            <w:tcW w:w="3686" w:type="dxa"/>
          </w:tcPr>
          <w:p w14:paraId="28E110AB" w14:textId="5E6F4C41" w:rsidR="0018311C" w:rsidRPr="00805934" w:rsidRDefault="0018311C" w:rsidP="0018311C">
            <w:pPr>
              <w:pStyle w:val="xmsolistparagraph"/>
              <w:ind w:left="0"/>
              <w:rPr>
                <w:rFonts w:asciiTheme="minorHAnsi" w:eastAsia="Times New Roman" w:hAnsiTheme="minorHAnsi" w:cstheme="minorHAnsi"/>
                <w:sz w:val="20"/>
                <w:szCs w:val="20"/>
              </w:rPr>
            </w:pPr>
            <w:r w:rsidRPr="00805934">
              <w:rPr>
                <w:rFonts w:asciiTheme="minorHAnsi" w:eastAsia="Times New Roman" w:hAnsiTheme="minorHAnsi" w:cstheme="minorHAnsi"/>
                <w:sz w:val="20"/>
                <w:szCs w:val="20"/>
              </w:rPr>
              <w:t xml:space="preserve">Materiële lasten worden exclusief compensabele BTW-geraamd en inclusief de niet-compensabele BTW van het </w:t>
            </w:r>
            <w:r w:rsidR="009E08D6">
              <w:rPr>
                <w:rFonts w:asciiTheme="minorHAnsi" w:eastAsia="Times New Roman" w:hAnsiTheme="minorHAnsi" w:cstheme="minorHAnsi"/>
                <w:sz w:val="20"/>
                <w:szCs w:val="20"/>
              </w:rPr>
              <w:t>w</w:t>
            </w:r>
            <w:r w:rsidRPr="00805934">
              <w:rPr>
                <w:rFonts w:asciiTheme="minorHAnsi" w:eastAsia="Times New Roman" w:hAnsiTheme="minorHAnsi" w:cstheme="minorHAnsi"/>
                <w:sz w:val="20"/>
                <w:szCs w:val="20"/>
              </w:rPr>
              <w:t>aterschap.</w:t>
            </w:r>
          </w:p>
        </w:tc>
        <w:tc>
          <w:tcPr>
            <w:tcW w:w="3340" w:type="dxa"/>
          </w:tcPr>
          <w:p w14:paraId="5D4940E4" w14:textId="77777777" w:rsidR="0018311C" w:rsidRPr="00805934" w:rsidRDefault="0018311C" w:rsidP="0018311C">
            <w:pPr>
              <w:pStyle w:val="xmsolistparagraph"/>
              <w:ind w:left="0"/>
              <w:rPr>
                <w:rFonts w:asciiTheme="minorHAnsi" w:eastAsia="Times New Roman" w:hAnsiTheme="minorHAnsi" w:cstheme="minorHAnsi"/>
                <w:sz w:val="20"/>
                <w:szCs w:val="20"/>
              </w:rPr>
            </w:pPr>
            <w:r w:rsidRPr="00805934">
              <w:rPr>
                <w:rFonts w:asciiTheme="minorHAnsi" w:eastAsia="Times New Roman" w:hAnsiTheme="minorHAnsi" w:cstheme="minorHAnsi"/>
                <w:sz w:val="20"/>
                <w:szCs w:val="20"/>
              </w:rPr>
              <w:t xml:space="preserve">Jaarlijks wordt de compensabele BTW van de gemeenten via een apart afrekencircuit doorgeschoven naar de gemeenten. </w:t>
            </w:r>
          </w:p>
          <w:p w14:paraId="5E4B63B0" w14:textId="77777777" w:rsidR="0018311C" w:rsidRPr="00805934" w:rsidRDefault="0018311C" w:rsidP="0018311C">
            <w:pPr>
              <w:pStyle w:val="xmsolistparagraph"/>
              <w:ind w:left="0"/>
              <w:rPr>
                <w:rFonts w:asciiTheme="minorHAnsi" w:eastAsia="Times New Roman" w:hAnsiTheme="minorHAnsi" w:cstheme="minorHAnsi"/>
                <w:sz w:val="20"/>
                <w:szCs w:val="20"/>
              </w:rPr>
            </w:pPr>
          </w:p>
        </w:tc>
      </w:tr>
      <w:tr w:rsidR="008C457D" w:rsidRPr="003A170B" w14:paraId="05604CC4" w14:textId="77777777" w:rsidTr="6F850257">
        <w:tc>
          <w:tcPr>
            <w:tcW w:w="2268" w:type="dxa"/>
          </w:tcPr>
          <w:p w14:paraId="5913F4DE" w14:textId="77777777" w:rsidR="0018311C" w:rsidRPr="00C41527" w:rsidRDefault="0018311C" w:rsidP="0018311C">
            <w:pPr>
              <w:pStyle w:val="xmsolistparagraph"/>
              <w:ind w:left="0"/>
              <w:rPr>
                <w:rFonts w:asciiTheme="minorHAnsi" w:eastAsia="Times New Roman" w:hAnsiTheme="minorHAnsi" w:cstheme="minorHAnsi"/>
                <w:sz w:val="20"/>
                <w:szCs w:val="20"/>
              </w:rPr>
            </w:pPr>
            <w:r w:rsidRPr="00C41527">
              <w:rPr>
                <w:rFonts w:asciiTheme="minorHAnsi" w:eastAsia="Times New Roman" w:hAnsiTheme="minorHAnsi" w:cstheme="minorHAnsi"/>
                <w:sz w:val="20"/>
                <w:szCs w:val="20"/>
              </w:rPr>
              <w:t>Belastingen</w:t>
            </w:r>
          </w:p>
        </w:tc>
        <w:tc>
          <w:tcPr>
            <w:tcW w:w="3686" w:type="dxa"/>
          </w:tcPr>
          <w:p w14:paraId="6DA5DEE2" w14:textId="77777777" w:rsidR="0018311C" w:rsidRPr="00C41527" w:rsidRDefault="0018311C" w:rsidP="0018311C">
            <w:pPr>
              <w:pStyle w:val="xmsolistparagraph"/>
              <w:ind w:left="0"/>
              <w:rPr>
                <w:rFonts w:asciiTheme="minorHAnsi" w:eastAsia="Times New Roman" w:hAnsiTheme="minorHAnsi" w:cstheme="minorHAnsi"/>
                <w:sz w:val="20"/>
                <w:szCs w:val="20"/>
              </w:rPr>
            </w:pPr>
            <w:r w:rsidRPr="00C41527">
              <w:rPr>
                <w:rFonts w:asciiTheme="minorHAnsi" w:eastAsia="Times New Roman" w:hAnsiTheme="minorHAnsi" w:cstheme="minorHAnsi"/>
                <w:sz w:val="20"/>
                <w:szCs w:val="20"/>
              </w:rPr>
              <w:t>BghU voert geen dienstverlening uit die onder de VPB-plicht valt.</w:t>
            </w:r>
          </w:p>
          <w:p w14:paraId="0F647612" w14:textId="77777777" w:rsidR="0018311C" w:rsidRPr="00C41527" w:rsidRDefault="0018311C" w:rsidP="0018311C">
            <w:pPr>
              <w:pStyle w:val="xmsolistparagraph"/>
              <w:ind w:left="0"/>
              <w:rPr>
                <w:rFonts w:asciiTheme="minorHAnsi" w:eastAsia="Times New Roman" w:hAnsiTheme="minorHAnsi" w:cstheme="minorHAnsi"/>
                <w:sz w:val="20"/>
                <w:szCs w:val="20"/>
              </w:rPr>
            </w:pPr>
          </w:p>
        </w:tc>
        <w:tc>
          <w:tcPr>
            <w:tcW w:w="3340" w:type="dxa"/>
          </w:tcPr>
          <w:p w14:paraId="1C124EA8" w14:textId="77777777" w:rsidR="0018311C" w:rsidRPr="00C41527" w:rsidRDefault="0018311C" w:rsidP="0018311C">
            <w:pPr>
              <w:pStyle w:val="xmsolistparagraph"/>
              <w:ind w:left="0"/>
              <w:rPr>
                <w:rFonts w:asciiTheme="minorHAnsi" w:eastAsia="Times New Roman" w:hAnsiTheme="minorHAnsi" w:cstheme="minorHAnsi"/>
                <w:sz w:val="20"/>
                <w:szCs w:val="20"/>
              </w:rPr>
            </w:pPr>
            <w:r w:rsidRPr="00C41527">
              <w:rPr>
                <w:rFonts w:asciiTheme="minorHAnsi" w:eastAsia="Times New Roman" w:hAnsiTheme="minorHAnsi" w:cstheme="minorHAnsi"/>
                <w:sz w:val="20"/>
                <w:szCs w:val="20"/>
              </w:rPr>
              <w:lastRenderedPageBreak/>
              <w:t>Niet van toepassing</w:t>
            </w:r>
          </w:p>
        </w:tc>
      </w:tr>
      <w:tr w:rsidR="008C457D" w:rsidRPr="003A170B" w14:paraId="0C758293" w14:textId="77777777" w:rsidTr="6F850257">
        <w:tc>
          <w:tcPr>
            <w:tcW w:w="2268" w:type="dxa"/>
          </w:tcPr>
          <w:p w14:paraId="5A6DA47D" w14:textId="77777777" w:rsidR="0018311C" w:rsidRPr="003A170B" w:rsidRDefault="6F850257" w:rsidP="6F850257">
            <w:pPr>
              <w:pStyle w:val="xmsolistparagraph"/>
              <w:ind w:left="0"/>
              <w:rPr>
                <w:rFonts w:asciiTheme="minorHAnsi" w:eastAsia="Times New Roman" w:hAnsiTheme="minorHAnsi" w:cstheme="minorBidi"/>
                <w:sz w:val="20"/>
                <w:szCs w:val="20"/>
              </w:rPr>
            </w:pPr>
            <w:r w:rsidRPr="6F850257">
              <w:rPr>
                <w:rFonts w:asciiTheme="minorHAnsi" w:eastAsia="Times New Roman" w:hAnsiTheme="minorHAnsi" w:cstheme="minorBidi"/>
                <w:sz w:val="20"/>
                <w:szCs w:val="20"/>
              </w:rPr>
              <w:t>Formatie &amp; personeel</w:t>
            </w:r>
          </w:p>
        </w:tc>
        <w:tc>
          <w:tcPr>
            <w:tcW w:w="3686" w:type="dxa"/>
          </w:tcPr>
          <w:p w14:paraId="3B4C2C79" w14:textId="77777777" w:rsidR="0018311C" w:rsidRPr="003A170B" w:rsidRDefault="6F850257" w:rsidP="6F850257">
            <w:pPr>
              <w:pStyle w:val="xmsolistparagraph"/>
              <w:ind w:left="0"/>
              <w:rPr>
                <w:rFonts w:asciiTheme="minorHAnsi" w:eastAsia="Times New Roman" w:hAnsiTheme="minorHAnsi" w:cstheme="minorBidi"/>
                <w:sz w:val="20"/>
                <w:szCs w:val="20"/>
              </w:rPr>
            </w:pPr>
            <w:r w:rsidRPr="6F850257">
              <w:rPr>
                <w:rFonts w:asciiTheme="minorHAnsi" w:eastAsia="Times New Roman" w:hAnsiTheme="minorHAnsi" w:cstheme="minorBidi"/>
                <w:sz w:val="20"/>
                <w:szCs w:val="20"/>
              </w:rPr>
              <w:t>Loonsomsturing op basis van de vastgestelde begroting</w:t>
            </w:r>
          </w:p>
        </w:tc>
        <w:tc>
          <w:tcPr>
            <w:tcW w:w="3340" w:type="dxa"/>
          </w:tcPr>
          <w:p w14:paraId="7452E85C" w14:textId="0E22502C" w:rsidR="0018311C" w:rsidRPr="003A170B" w:rsidRDefault="6F850257" w:rsidP="6F850257">
            <w:pPr>
              <w:pStyle w:val="xmsolistparagraph"/>
              <w:ind w:left="0"/>
              <w:rPr>
                <w:rFonts w:asciiTheme="minorHAnsi" w:eastAsia="Times New Roman" w:hAnsiTheme="minorHAnsi" w:cstheme="minorBidi"/>
                <w:sz w:val="20"/>
                <w:szCs w:val="20"/>
              </w:rPr>
            </w:pPr>
            <w:r w:rsidRPr="6F850257">
              <w:rPr>
                <w:rFonts w:asciiTheme="minorHAnsi" w:eastAsia="Times New Roman" w:hAnsiTheme="minorHAnsi" w:cstheme="minorBidi"/>
                <w:sz w:val="20"/>
                <w:szCs w:val="20"/>
              </w:rPr>
              <w:t xml:space="preserve">BghU werkt met een vaste formatie (circa 118 FTE) en een flexibele schil inhuur. Binnen deze twee categorieën kan geschoven worden  maar de vastgestelde loonsom kan niet overschreden worden zonder (interne) begrotingswijziging. </w:t>
            </w:r>
          </w:p>
          <w:p w14:paraId="2BA8F96D" w14:textId="77777777" w:rsidR="0018311C" w:rsidRPr="003A170B" w:rsidRDefault="0018311C" w:rsidP="6F850257">
            <w:pPr>
              <w:pStyle w:val="xmsolistparagraph"/>
              <w:ind w:left="0"/>
              <w:rPr>
                <w:rFonts w:asciiTheme="minorHAnsi" w:eastAsia="Times New Roman" w:hAnsiTheme="minorHAnsi" w:cstheme="minorBidi"/>
                <w:sz w:val="20"/>
                <w:szCs w:val="20"/>
              </w:rPr>
            </w:pPr>
          </w:p>
        </w:tc>
      </w:tr>
    </w:tbl>
    <w:p w14:paraId="481038B3" w14:textId="0F115679" w:rsidR="00EE7185" w:rsidRDefault="6F850257" w:rsidP="3979A5F3">
      <w:pPr>
        <w:spacing w:after="200" w:line="276" w:lineRule="auto"/>
        <w:rPr>
          <w:rFonts w:asciiTheme="minorHAnsi" w:hAnsiTheme="minorHAnsi" w:cstheme="minorBidi"/>
        </w:rPr>
      </w:pPr>
      <w:r w:rsidRPr="3979A5F3">
        <w:rPr>
          <w:rFonts w:asciiTheme="minorHAnsi" w:hAnsiTheme="minorHAnsi" w:cstheme="minorBidi"/>
        </w:rPr>
        <w:t>We leven op het moment van het opstellen van deze kadernota in een tijd van extreem hoge inflatie. Het is daarom heel lastig om een reële inschatting van de inflatie in 2024 en latere jaren te maken. Voor de begroting 2024 en meerjarenraming 2025-2027 gaan we uit dat de extreem hoge inflatie onder controle is. Wel gaan we uit van een hogere inflatie dan die in de afgelopen jaren is gerealiseerd. We gaan zowel bij de personele lasten als de materiële lasten uit van een indexering voor inflatie van 4</w:t>
      </w:r>
      <w:r w:rsidRPr="00D04CF4">
        <w:rPr>
          <w:rFonts w:asciiTheme="minorHAnsi" w:hAnsiTheme="minorHAnsi" w:cstheme="minorBidi"/>
        </w:rPr>
        <w:t>%</w:t>
      </w:r>
      <w:r w:rsidR="00CF6D08" w:rsidRPr="00D04CF4">
        <w:rPr>
          <w:rFonts w:asciiTheme="minorHAnsi" w:hAnsiTheme="minorHAnsi" w:cstheme="minorBidi"/>
        </w:rPr>
        <w:t xml:space="preserve"> voor 2024</w:t>
      </w:r>
      <w:r w:rsidRPr="00D04CF4">
        <w:rPr>
          <w:rFonts w:asciiTheme="minorHAnsi" w:hAnsiTheme="minorHAnsi" w:cstheme="minorBidi"/>
        </w:rPr>
        <w:t>. Dit is 2% hoger dan waar we in de kadernota 2023-2026 mee rekening hebben gehouden.</w:t>
      </w:r>
      <w:r w:rsidR="00CC2959" w:rsidRPr="00D04CF4">
        <w:rPr>
          <w:rFonts w:asciiTheme="minorHAnsi" w:hAnsiTheme="minorHAnsi" w:cstheme="minorBidi"/>
        </w:rPr>
        <w:t xml:space="preserve"> Voor de jaren 2025-2027 houden we de indexcijfers van het CPB aan, oftewel 3,3%, 3,1% en 3,1%. Dat is 1,3%, 1,1% en 1,1% hoger dan waar we in de kadernota 2023-2026 rekening mee hebben gehouden.</w:t>
      </w:r>
      <w:r w:rsidR="006961D2">
        <w:br/>
      </w:r>
      <w:r w:rsidR="006961D2">
        <w:br/>
      </w:r>
      <w:r w:rsidRPr="3979A5F3">
        <w:rPr>
          <w:rFonts w:asciiTheme="minorHAnsi" w:hAnsiTheme="minorHAnsi" w:cstheme="minorBidi"/>
        </w:rPr>
        <w:t>Het is zeer goed mogelijk dat de vastgestelde begroting over 2023 als gevolg van een hogere indexatie nog bijgesteld moet worden. Als dat aan de orde is zal er aan het bestuur een gewijzigde begroting ter goedkeuring worden aangeboden. Dit heeft ook gevolgen voor de budgetten vanaf 2024 omdat het basisbedrag dan gewijzigd is. Ook dat zal in een eventueel voorstel tot wijziging van de begroting 2023 worden meegenomen.</w:t>
      </w:r>
      <w:r w:rsidR="00217A3A">
        <w:rPr>
          <w:rFonts w:asciiTheme="minorHAnsi" w:hAnsiTheme="minorHAnsi" w:cstheme="minorBidi"/>
        </w:rPr>
        <w:br/>
      </w:r>
      <w:r w:rsidR="006961D2">
        <w:br/>
      </w:r>
      <w:r w:rsidR="70D4621F">
        <w:t>De aanpassing naar een indexatie van 4% voor betekent in de begroting 2024 voor de personele lasten een verhoging met € 211.000 en voor de materië</w:t>
      </w:r>
      <w:r w:rsidR="355BAB93">
        <w:t>le lasten een verhoging van € 163.768 ten opzichte van de vorige kadernota.</w:t>
      </w:r>
      <w:r w:rsidR="4CEC6CF9">
        <w:t xml:space="preserve"> In de loop van 2023 zullen we nagaan hoe de ontwikkeling van de inflatie verloopt en wat daarvan de eventuele gevolgen voor de begroting 2024 zijn.</w:t>
      </w:r>
      <w:r w:rsidR="32A575F6">
        <w:t xml:space="preserve"> Het bestuur zal dan via de Berap in 2023 geïnformeerd worden over deze ontwikkeling en het mogelijke effect op de begroting 2024.</w:t>
      </w:r>
      <w:r w:rsidR="355BAB93">
        <w:t xml:space="preserve"> </w:t>
      </w:r>
      <w:r w:rsidR="11F7E88F">
        <w:t>Uiteindelijk is het aan het bestuur om een eventuele aanpassing van de begroting goed te keuren.</w:t>
      </w:r>
    </w:p>
    <w:p w14:paraId="3E2D0F55" w14:textId="1642C2B6" w:rsidR="00D04CF4" w:rsidRDefault="00D04CF4" w:rsidP="00EE7185">
      <w:pPr>
        <w:pStyle w:val="xmsolistparagraph"/>
        <w:ind w:left="0"/>
        <w:rPr>
          <w:rFonts w:asciiTheme="minorHAnsi" w:hAnsiTheme="minorHAnsi" w:cstheme="minorHAnsi"/>
          <w:sz w:val="20"/>
          <w:szCs w:val="20"/>
        </w:rPr>
      </w:pPr>
      <w:r w:rsidRPr="00D04CF4">
        <w:rPr>
          <w:noProof/>
        </w:rPr>
        <w:drawing>
          <wp:inline distT="0" distB="0" distL="0" distR="0" wp14:anchorId="7505A4AD" wp14:editId="3D0A085D">
            <wp:extent cx="5760720" cy="371729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717290"/>
                    </a:xfrm>
                    <a:prstGeom prst="rect">
                      <a:avLst/>
                    </a:prstGeom>
                    <a:noFill/>
                    <a:ln>
                      <a:noFill/>
                    </a:ln>
                  </pic:spPr>
                </pic:pic>
              </a:graphicData>
            </a:graphic>
          </wp:inline>
        </w:drawing>
      </w:r>
    </w:p>
    <w:p w14:paraId="5F1AAFC4" w14:textId="7DFF1748" w:rsidR="00EE7185" w:rsidRPr="00EE7185" w:rsidRDefault="00EE7185" w:rsidP="00EE7185">
      <w:pPr>
        <w:pStyle w:val="xmsolistparagraph"/>
        <w:ind w:left="0"/>
        <w:rPr>
          <w:rFonts w:asciiTheme="minorHAnsi" w:eastAsia="Times New Roman" w:hAnsiTheme="minorHAnsi" w:cstheme="minorHAnsi"/>
          <w:sz w:val="20"/>
          <w:szCs w:val="20"/>
        </w:rPr>
      </w:pPr>
      <w:r w:rsidRPr="00EE7185">
        <w:rPr>
          <w:rFonts w:asciiTheme="minorHAnsi" w:hAnsiTheme="minorHAnsi" w:cstheme="minorHAnsi"/>
          <w:sz w:val="20"/>
          <w:szCs w:val="20"/>
        </w:rPr>
        <w:lastRenderedPageBreak/>
        <w:t>De v</w:t>
      </w:r>
      <w:r w:rsidRPr="00EE7185">
        <w:rPr>
          <w:rFonts w:asciiTheme="minorHAnsi" w:eastAsia="Times New Roman" w:hAnsiTheme="minorHAnsi" w:cstheme="minorHAnsi"/>
          <w:sz w:val="20"/>
          <w:szCs w:val="20"/>
        </w:rPr>
        <w:t>olgende kaders gelden bij het opstellen van de begroting 202</w:t>
      </w:r>
      <w:r>
        <w:rPr>
          <w:rFonts w:asciiTheme="minorHAnsi" w:eastAsia="Times New Roman" w:hAnsiTheme="minorHAnsi" w:cstheme="minorHAnsi"/>
          <w:sz w:val="20"/>
          <w:szCs w:val="20"/>
        </w:rPr>
        <w:t>4</w:t>
      </w:r>
      <w:r w:rsidRPr="00EE7185">
        <w:rPr>
          <w:rFonts w:asciiTheme="minorHAnsi" w:eastAsia="Times New Roman" w:hAnsiTheme="minorHAnsi" w:cstheme="minorHAnsi"/>
          <w:sz w:val="20"/>
          <w:szCs w:val="20"/>
        </w:rPr>
        <w:t xml:space="preserve"> en de meerjarenraming 202</w:t>
      </w:r>
      <w:r>
        <w:rPr>
          <w:rFonts w:asciiTheme="minorHAnsi" w:eastAsia="Times New Roman" w:hAnsiTheme="minorHAnsi" w:cstheme="minorHAnsi"/>
          <w:sz w:val="20"/>
          <w:szCs w:val="20"/>
        </w:rPr>
        <w:t>5-</w:t>
      </w:r>
      <w:r w:rsidRPr="00EE7185">
        <w:rPr>
          <w:rFonts w:asciiTheme="minorHAnsi" w:eastAsia="Times New Roman" w:hAnsiTheme="minorHAnsi" w:cstheme="minorHAnsi"/>
          <w:sz w:val="20"/>
          <w:szCs w:val="20"/>
        </w:rPr>
        <w:t>202</w:t>
      </w:r>
      <w:r w:rsidR="00E27897">
        <w:rPr>
          <w:rFonts w:asciiTheme="minorHAnsi" w:eastAsia="Times New Roman" w:hAnsiTheme="minorHAnsi" w:cstheme="minorHAnsi"/>
          <w:sz w:val="20"/>
          <w:szCs w:val="20"/>
        </w:rPr>
        <w:t>7</w:t>
      </w:r>
      <w:r w:rsidRPr="00EE7185">
        <w:rPr>
          <w:rFonts w:asciiTheme="minorHAnsi" w:eastAsia="Times New Roman" w:hAnsiTheme="minorHAnsi" w:cstheme="minorHAnsi"/>
          <w:sz w:val="20"/>
          <w:szCs w:val="20"/>
        </w:rPr>
        <w:t xml:space="preserve">. </w:t>
      </w:r>
    </w:p>
    <w:p w14:paraId="1DD5E18D" w14:textId="77777777" w:rsidR="00EE7185" w:rsidRPr="00EE7185" w:rsidRDefault="00EE7185" w:rsidP="00EE7185">
      <w:pPr>
        <w:pStyle w:val="xmsolistparagraph"/>
        <w:ind w:left="0"/>
        <w:rPr>
          <w:rFonts w:asciiTheme="minorHAnsi" w:eastAsia="Times New Roman" w:hAnsiTheme="minorHAnsi" w:cstheme="minorHAnsi"/>
          <w:sz w:val="20"/>
          <w:szCs w:val="20"/>
        </w:rPr>
      </w:pPr>
    </w:p>
    <w:tbl>
      <w:tblPr>
        <w:tblStyle w:val="Tabelraster"/>
        <w:tblW w:w="0" w:type="auto"/>
        <w:tblLook w:val="04A0" w:firstRow="1" w:lastRow="0" w:firstColumn="1" w:lastColumn="0" w:noHBand="0" w:noVBand="1"/>
      </w:tblPr>
      <w:tblGrid>
        <w:gridCol w:w="3011"/>
        <w:gridCol w:w="3027"/>
        <w:gridCol w:w="3024"/>
      </w:tblGrid>
      <w:tr w:rsidR="00EE7185" w:rsidRPr="00EE7185" w14:paraId="7E29C394" w14:textId="77777777" w:rsidTr="001A6B49">
        <w:tc>
          <w:tcPr>
            <w:tcW w:w="3096" w:type="dxa"/>
          </w:tcPr>
          <w:p w14:paraId="313A8E8D" w14:textId="77777777" w:rsidR="00EE7185" w:rsidRPr="00C601F7" w:rsidRDefault="00EE7185" w:rsidP="00EE7185">
            <w:pPr>
              <w:pStyle w:val="xmsolistparagraph"/>
              <w:ind w:left="0"/>
              <w:rPr>
                <w:rFonts w:asciiTheme="minorHAnsi" w:eastAsia="Times New Roman" w:hAnsiTheme="minorHAnsi" w:cstheme="minorHAnsi"/>
                <w:b/>
                <w:bCs/>
                <w:sz w:val="20"/>
                <w:szCs w:val="20"/>
              </w:rPr>
            </w:pPr>
            <w:r w:rsidRPr="00C601F7">
              <w:rPr>
                <w:rFonts w:asciiTheme="minorHAnsi" w:eastAsia="Times New Roman" w:hAnsiTheme="minorHAnsi" w:cstheme="minorHAnsi"/>
                <w:b/>
                <w:bCs/>
                <w:sz w:val="20"/>
                <w:szCs w:val="20"/>
              </w:rPr>
              <w:t>Onderwerp</w:t>
            </w:r>
          </w:p>
        </w:tc>
        <w:tc>
          <w:tcPr>
            <w:tcW w:w="3096" w:type="dxa"/>
          </w:tcPr>
          <w:p w14:paraId="2E7B9722" w14:textId="77777777" w:rsidR="00EE7185" w:rsidRPr="00C601F7" w:rsidRDefault="00EE7185" w:rsidP="00EE7185">
            <w:pPr>
              <w:pStyle w:val="xmsolistparagraph"/>
              <w:ind w:left="0"/>
              <w:rPr>
                <w:rFonts w:asciiTheme="minorHAnsi" w:eastAsia="Times New Roman" w:hAnsiTheme="minorHAnsi" w:cstheme="minorHAnsi"/>
                <w:b/>
                <w:bCs/>
                <w:sz w:val="20"/>
                <w:szCs w:val="20"/>
              </w:rPr>
            </w:pPr>
            <w:r w:rsidRPr="00C601F7">
              <w:rPr>
                <w:rFonts w:asciiTheme="minorHAnsi" w:eastAsia="Times New Roman" w:hAnsiTheme="minorHAnsi" w:cstheme="minorHAnsi"/>
                <w:b/>
                <w:bCs/>
                <w:sz w:val="20"/>
                <w:szCs w:val="20"/>
              </w:rPr>
              <w:t>Kader</w:t>
            </w:r>
          </w:p>
        </w:tc>
        <w:tc>
          <w:tcPr>
            <w:tcW w:w="3097" w:type="dxa"/>
          </w:tcPr>
          <w:p w14:paraId="5661BA02" w14:textId="77777777" w:rsidR="00EE7185" w:rsidRPr="00C601F7" w:rsidRDefault="00EE7185" w:rsidP="00EE7185">
            <w:pPr>
              <w:pStyle w:val="xmsolistparagraph"/>
              <w:ind w:left="0"/>
              <w:rPr>
                <w:rFonts w:asciiTheme="minorHAnsi" w:eastAsia="Times New Roman" w:hAnsiTheme="minorHAnsi" w:cstheme="minorHAnsi"/>
                <w:b/>
                <w:bCs/>
                <w:sz w:val="20"/>
                <w:szCs w:val="20"/>
              </w:rPr>
            </w:pPr>
            <w:r w:rsidRPr="00C601F7">
              <w:rPr>
                <w:rFonts w:asciiTheme="minorHAnsi" w:eastAsia="Times New Roman" w:hAnsiTheme="minorHAnsi" w:cstheme="minorHAnsi"/>
                <w:b/>
                <w:bCs/>
                <w:sz w:val="20"/>
                <w:szCs w:val="20"/>
              </w:rPr>
              <w:t>Oorsprong</w:t>
            </w:r>
          </w:p>
        </w:tc>
      </w:tr>
      <w:tr w:rsidR="00EE7185" w:rsidRPr="00EE7185" w14:paraId="27190AB2" w14:textId="77777777" w:rsidTr="001A6B49">
        <w:tc>
          <w:tcPr>
            <w:tcW w:w="3096" w:type="dxa"/>
          </w:tcPr>
          <w:p w14:paraId="2340F157" w14:textId="77777777" w:rsidR="00EE7185" w:rsidRPr="00C601F7" w:rsidRDefault="00EE7185" w:rsidP="00EE7185">
            <w:pPr>
              <w:pStyle w:val="xmsolistparagraph"/>
              <w:ind w:left="0"/>
              <w:rPr>
                <w:rFonts w:asciiTheme="minorHAnsi" w:eastAsia="Times New Roman" w:hAnsiTheme="minorHAnsi" w:cstheme="minorHAnsi"/>
                <w:sz w:val="20"/>
                <w:szCs w:val="20"/>
              </w:rPr>
            </w:pPr>
            <w:r w:rsidRPr="00C601F7">
              <w:rPr>
                <w:rFonts w:asciiTheme="minorHAnsi" w:eastAsia="Times New Roman" w:hAnsiTheme="minorHAnsi" w:cstheme="minorHAnsi"/>
                <w:sz w:val="20"/>
                <w:szCs w:val="20"/>
              </w:rPr>
              <w:t>Structureel evenwicht</w:t>
            </w:r>
          </w:p>
        </w:tc>
        <w:tc>
          <w:tcPr>
            <w:tcW w:w="3096" w:type="dxa"/>
          </w:tcPr>
          <w:p w14:paraId="0D7751BA" w14:textId="77777777" w:rsidR="00EE7185" w:rsidRPr="00C601F7" w:rsidRDefault="00EE7185" w:rsidP="00EE7185">
            <w:pPr>
              <w:pStyle w:val="xmsolistparagraph"/>
              <w:ind w:left="0"/>
              <w:rPr>
                <w:rFonts w:asciiTheme="minorHAnsi" w:eastAsia="Times New Roman" w:hAnsiTheme="minorHAnsi" w:cstheme="minorHAnsi"/>
                <w:sz w:val="20"/>
                <w:szCs w:val="20"/>
              </w:rPr>
            </w:pPr>
            <w:r w:rsidRPr="00C601F7">
              <w:rPr>
                <w:rFonts w:asciiTheme="minorHAnsi" w:eastAsia="Times New Roman" w:hAnsiTheme="minorHAnsi" w:cstheme="minorHAnsi"/>
                <w:sz w:val="20"/>
                <w:szCs w:val="20"/>
              </w:rPr>
              <w:t xml:space="preserve">Structurele baten dekken de structurele lasten. BghU mag onder de streep geen tekort hebben. </w:t>
            </w:r>
          </w:p>
          <w:p w14:paraId="35870C1C" w14:textId="77777777" w:rsidR="00EE7185" w:rsidRPr="00C601F7" w:rsidRDefault="00EE7185" w:rsidP="00EE7185">
            <w:pPr>
              <w:pStyle w:val="xmsolistparagraph"/>
              <w:ind w:left="0"/>
              <w:rPr>
                <w:rFonts w:asciiTheme="minorHAnsi" w:eastAsia="Times New Roman" w:hAnsiTheme="minorHAnsi" w:cstheme="minorHAnsi"/>
                <w:sz w:val="20"/>
                <w:szCs w:val="20"/>
              </w:rPr>
            </w:pPr>
          </w:p>
        </w:tc>
        <w:tc>
          <w:tcPr>
            <w:tcW w:w="3097" w:type="dxa"/>
          </w:tcPr>
          <w:p w14:paraId="18E86936" w14:textId="77777777" w:rsidR="00EE7185" w:rsidRPr="00C601F7" w:rsidRDefault="00EE7185" w:rsidP="00EE7185">
            <w:pPr>
              <w:pStyle w:val="xmsolistparagraph"/>
              <w:ind w:left="0"/>
              <w:rPr>
                <w:rFonts w:asciiTheme="minorHAnsi" w:eastAsia="Times New Roman" w:hAnsiTheme="minorHAnsi" w:cstheme="minorHAnsi"/>
                <w:sz w:val="20"/>
                <w:szCs w:val="20"/>
              </w:rPr>
            </w:pPr>
            <w:r w:rsidRPr="00C601F7">
              <w:rPr>
                <w:rFonts w:asciiTheme="minorHAnsi" w:eastAsia="Times New Roman" w:hAnsiTheme="minorHAnsi" w:cstheme="minorHAnsi"/>
                <w:sz w:val="20"/>
                <w:szCs w:val="20"/>
              </w:rPr>
              <w:t>BBV</w:t>
            </w:r>
          </w:p>
        </w:tc>
      </w:tr>
      <w:tr w:rsidR="00EE7185" w:rsidRPr="00EE7185" w14:paraId="0DE582E2" w14:textId="77777777" w:rsidTr="001A6B49">
        <w:tc>
          <w:tcPr>
            <w:tcW w:w="3096" w:type="dxa"/>
          </w:tcPr>
          <w:p w14:paraId="06BC0C7C" w14:textId="77777777" w:rsidR="00EE7185" w:rsidRPr="002F1EA4" w:rsidRDefault="00EE7185" w:rsidP="00EE7185">
            <w:pPr>
              <w:pStyle w:val="xmsolistparagraph"/>
              <w:ind w:left="0"/>
              <w:rPr>
                <w:rFonts w:asciiTheme="minorHAnsi" w:eastAsia="Times New Roman" w:hAnsiTheme="minorHAnsi" w:cstheme="minorHAnsi"/>
                <w:sz w:val="20"/>
                <w:szCs w:val="20"/>
              </w:rPr>
            </w:pPr>
            <w:r w:rsidRPr="002F1EA4">
              <w:rPr>
                <w:rFonts w:asciiTheme="minorHAnsi" w:eastAsia="Times New Roman" w:hAnsiTheme="minorHAnsi" w:cstheme="minorHAnsi"/>
                <w:sz w:val="20"/>
                <w:szCs w:val="20"/>
              </w:rPr>
              <w:t xml:space="preserve">Reëel beeld </w:t>
            </w:r>
          </w:p>
        </w:tc>
        <w:tc>
          <w:tcPr>
            <w:tcW w:w="3096" w:type="dxa"/>
          </w:tcPr>
          <w:p w14:paraId="77379EE6" w14:textId="77777777" w:rsidR="00EE7185" w:rsidRPr="002F1EA4" w:rsidRDefault="00EE7185" w:rsidP="00EE7185">
            <w:pPr>
              <w:pStyle w:val="xmsolistparagraph"/>
              <w:ind w:left="0"/>
              <w:rPr>
                <w:rFonts w:asciiTheme="minorHAnsi" w:eastAsia="Times New Roman" w:hAnsiTheme="minorHAnsi" w:cstheme="minorHAnsi"/>
                <w:sz w:val="20"/>
                <w:szCs w:val="20"/>
              </w:rPr>
            </w:pPr>
            <w:r w:rsidRPr="002F1EA4">
              <w:rPr>
                <w:rFonts w:asciiTheme="minorHAnsi" w:eastAsia="Times New Roman" w:hAnsiTheme="minorHAnsi" w:cstheme="minorHAnsi"/>
                <w:sz w:val="20"/>
                <w:szCs w:val="20"/>
              </w:rPr>
              <w:t xml:space="preserve">De begroting bevat een reëel beeld van de verwachte materiele lasten, bijvoorbeeld op basis van lopende contracten en verwachte kapitaallasten. </w:t>
            </w:r>
          </w:p>
          <w:p w14:paraId="2BD7E40D" w14:textId="77777777" w:rsidR="00EE7185" w:rsidRPr="002F1EA4" w:rsidRDefault="00EE7185" w:rsidP="00EE7185">
            <w:pPr>
              <w:pStyle w:val="xmsolistparagraph"/>
              <w:ind w:left="0"/>
              <w:rPr>
                <w:rFonts w:asciiTheme="minorHAnsi" w:eastAsia="Times New Roman" w:hAnsiTheme="minorHAnsi" w:cstheme="minorHAnsi"/>
                <w:sz w:val="20"/>
                <w:szCs w:val="20"/>
              </w:rPr>
            </w:pPr>
          </w:p>
        </w:tc>
        <w:tc>
          <w:tcPr>
            <w:tcW w:w="3097" w:type="dxa"/>
          </w:tcPr>
          <w:p w14:paraId="1454A25D" w14:textId="77777777" w:rsidR="00EE7185" w:rsidRPr="002F1EA4" w:rsidRDefault="00EE7185" w:rsidP="00EE7185">
            <w:pPr>
              <w:pStyle w:val="xmsolistparagraph"/>
              <w:ind w:left="0"/>
              <w:rPr>
                <w:rFonts w:asciiTheme="minorHAnsi" w:eastAsia="Times New Roman" w:hAnsiTheme="minorHAnsi" w:cstheme="minorHAnsi"/>
                <w:sz w:val="20"/>
                <w:szCs w:val="20"/>
              </w:rPr>
            </w:pPr>
            <w:r w:rsidRPr="002F1EA4">
              <w:rPr>
                <w:rFonts w:asciiTheme="minorHAnsi" w:eastAsia="Times New Roman" w:hAnsiTheme="minorHAnsi" w:cstheme="minorHAnsi"/>
                <w:sz w:val="20"/>
                <w:szCs w:val="20"/>
              </w:rPr>
              <w:t>BBV</w:t>
            </w:r>
          </w:p>
        </w:tc>
      </w:tr>
      <w:tr w:rsidR="00EE7185" w:rsidRPr="00EE7185" w14:paraId="1F4DBA04" w14:textId="77777777" w:rsidTr="001A6B49">
        <w:tc>
          <w:tcPr>
            <w:tcW w:w="3096" w:type="dxa"/>
          </w:tcPr>
          <w:p w14:paraId="38DADB50" w14:textId="77777777" w:rsidR="00EE7185" w:rsidRPr="002F1EA4" w:rsidRDefault="00EE7185" w:rsidP="00EE7185">
            <w:pPr>
              <w:pStyle w:val="xmsolistparagraph"/>
              <w:ind w:left="0"/>
              <w:rPr>
                <w:rFonts w:asciiTheme="minorHAnsi" w:eastAsia="Times New Roman" w:hAnsiTheme="minorHAnsi" w:cstheme="minorHAnsi"/>
                <w:sz w:val="20"/>
                <w:szCs w:val="20"/>
              </w:rPr>
            </w:pPr>
            <w:r w:rsidRPr="002F1EA4">
              <w:rPr>
                <w:rFonts w:asciiTheme="minorHAnsi" w:eastAsia="Times New Roman" w:hAnsiTheme="minorHAnsi" w:cstheme="minorHAnsi"/>
                <w:sz w:val="20"/>
                <w:szCs w:val="20"/>
              </w:rPr>
              <w:t>Kostenverdeling</w:t>
            </w:r>
          </w:p>
        </w:tc>
        <w:tc>
          <w:tcPr>
            <w:tcW w:w="3096" w:type="dxa"/>
          </w:tcPr>
          <w:p w14:paraId="3F1C6348" w14:textId="661EB614" w:rsidR="00EE7185" w:rsidRPr="002F1EA4" w:rsidRDefault="00EE7185" w:rsidP="00EE7185">
            <w:pPr>
              <w:pStyle w:val="xmsolistparagraph"/>
              <w:ind w:left="0"/>
              <w:rPr>
                <w:rFonts w:asciiTheme="minorHAnsi" w:eastAsia="Times New Roman" w:hAnsiTheme="minorHAnsi" w:cstheme="minorHAnsi"/>
                <w:sz w:val="20"/>
                <w:szCs w:val="20"/>
              </w:rPr>
            </w:pPr>
            <w:r w:rsidRPr="002F1EA4">
              <w:rPr>
                <w:rFonts w:asciiTheme="minorHAnsi" w:eastAsia="Times New Roman" w:hAnsiTheme="minorHAnsi" w:cstheme="minorHAnsi"/>
                <w:sz w:val="20"/>
                <w:szCs w:val="20"/>
              </w:rPr>
              <w:t>De werklast is leidend in de verdeling van de kosten onder de deelnemers van de BghU. De begroting 202</w:t>
            </w:r>
            <w:r w:rsidR="002F1EA4" w:rsidRPr="002F1EA4">
              <w:rPr>
                <w:rFonts w:asciiTheme="minorHAnsi" w:eastAsia="Times New Roman" w:hAnsiTheme="minorHAnsi" w:cstheme="minorHAnsi"/>
                <w:sz w:val="20"/>
                <w:szCs w:val="20"/>
              </w:rPr>
              <w:t>4</w:t>
            </w:r>
            <w:r w:rsidRPr="002F1EA4">
              <w:rPr>
                <w:rFonts w:asciiTheme="minorHAnsi" w:eastAsia="Times New Roman" w:hAnsiTheme="minorHAnsi" w:cstheme="minorHAnsi"/>
                <w:sz w:val="20"/>
                <w:szCs w:val="20"/>
              </w:rPr>
              <w:t xml:space="preserve"> wordt opgesteld aan de hand van 5 programma's. </w:t>
            </w:r>
          </w:p>
          <w:p w14:paraId="3F19851E" w14:textId="77777777" w:rsidR="00EE7185" w:rsidRPr="002F1EA4" w:rsidRDefault="00EE7185" w:rsidP="00EE7185">
            <w:pPr>
              <w:pStyle w:val="xmsolistparagraph"/>
              <w:ind w:left="0"/>
              <w:rPr>
                <w:rFonts w:asciiTheme="minorHAnsi" w:eastAsia="Times New Roman" w:hAnsiTheme="minorHAnsi" w:cstheme="minorHAnsi"/>
                <w:sz w:val="20"/>
                <w:szCs w:val="20"/>
              </w:rPr>
            </w:pPr>
          </w:p>
        </w:tc>
        <w:tc>
          <w:tcPr>
            <w:tcW w:w="3097" w:type="dxa"/>
          </w:tcPr>
          <w:p w14:paraId="5114A012" w14:textId="77777777" w:rsidR="00EE7185" w:rsidRPr="002F1EA4" w:rsidRDefault="00EE7185" w:rsidP="00EE7185">
            <w:pPr>
              <w:pStyle w:val="xmsolistparagraph"/>
              <w:ind w:left="0"/>
              <w:rPr>
                <w:rFonts w:asciiTheme="minorHAnsi" w:eastAsia="Times New Roman" w:hAnsiTheme="minorHAnsi" w:cstheme="minorHAnsi"/>
                <w:sz w:val="20"/>
                <w:szCs w:val="20"/>
              </w:rPr>
            </w:pPr>
            <w:r w:rsidRPr="002F1EA4">
              <w:rPr>
                <w:rFonts w:asciiTheme="minorHAnsi" w:eastAsia="Times New Roman" w:hAnsiTheme="minorHAnsi" w:cstheme="minorHAnsi"/>
                <w:sz w:val="20"/>
                <w:szCs w:val="20"/>
              </w:rPr>
              <w:t>Bijdrageverordening op basis van artikel 40 GR</w:t>
            </w:r>
          </w:p>
        </w:tc>
      </w:tr>
      <w:tr w:rsidR="00EE7185" w:rsidRPr="00EE7185" w14:paraId="7A26305D" w14:textId="77777777" w:rsidTr="001A6B49">
        <w:tc>
          <w:tcPr>
            <w:tcW w:w="3096" w:type="dxa"/>
          </w:tcPr>
          <w:p w14:paraId="03E5FF60" w14:textId="77777777" w:rsidR="00EE7185" w:rsidRPr="002F1EA4" w:rsidRDefault="00EE7185" w:rsidP="00EE7185">
            <w:pPr>
              <w:pStyle w:val="xmsolistparagraph"/>
              <w:ind w:left="0"/>
              <w:rPr>
                <w:rFonts w:asciiTheme="minorHAnsi" w:eastAsia="Times New Roman" w:hAnsiTheme="minorHAnsi" w:cstheme="minorHAnsi"/>
                <w:sz w:val="20"/>
                <w:szCs w:val="20"/>
              </w:rPr>
            </w:pPr>
            <w:r w:rsidRPr="002F1EA4">
              <w:rPr>
                <w:rFonts w:asciiTheme="minorHAnsi" w:eastAsia="Times New Roman" w:hAnsiTheme="minorHAnsi" w:cstheme="minorHAnsi"/>
                <w:sz w:val="20"/>
                <w:szCs w:val="20"/>
              </w:rPr>
              <w:t>Basispakket &amp; pluspakket</w:t>
            </w:r>
          </w:p>
        </w:tc>
        <w:tc>
          <w:tcPr>
            <w:tcW w:w="3096" w:type="dxa"/>
          </w:tcPr>
          <w:p w14:paraId="2982CA23" w14:textId="77777777" w:rsidR="00EE7185" w:rsidRPr="002F1EA4" w:rsidRDefault="00EE7185" w:rsidP="00EE7185">
            <w:pPr>
              <w:pStyle w:val="xmsolistparagraph"/>
              <w:ind w:left="0"/>
              <w:rPr>
                <w:rFonts w:asciiTheme="minorHAnsi" w:eastAsia="Times New Roman" w:hAnsiTheme="minorHAnsi" w:cstheme="minorHAnsi"/>
                <w:sz w:val="20"/>
                <w:szCs w:val="20"/>
              </w:rPr>
            </w:pPr>
            <w:r w:rsidRPr="002F1EA4">
              <w:rPr>
                <w:rFonts w:asciiTheme="minorHAnsi" w:eastAsia="Times New Roman" w:hAnsiTheme="minorHAnsi" w:cstheme="minorHAnsi"/>
                <w:sz w:val="20"/>
                <w:szCs w:val="20"/>
              </w:rPr>
              <w:t xml:space="preserve">Taken binnen het basispakket worden uitgevoerd voor algemene rekening en als zodanig verdeeld. </w:t>
            </w:r>
          </w:p>
          <w:p w14:paraId="19916667" w14:textId="77777777" w:rsidR="00EE7185" w:rsidRPr="002F1EA4" w:rsidRDefault="00EE7185" w:rsidP="00EE7185">
            <w:pPr>
              <w:pStyle w:val="xmsolistparagraph"/>
              <w:ind w:left="0"/>
              <w:rPr>
                <w:rFonts w:asciiTheme="minorHAnsi" w:eastAsia="Times New Roman" w:hAnsiTheme="minorHAnsi" w:cstheme="minorHAnsi"/>
                <w:sz w:val="20"/>
                <w:szCs w:val="20"/>
              </w:rPr>
            </w:pPr>
          </w:p>
          <w:p w14:paraId="7A122E0B" w14:textId="77777777" w:rsidR="00EE7185" w:rsidRPr="002F1EA4" w:rsidRDefault="00EE7185" w:rsidP="00EE7185">
            <w:pPr>
              <w:pStyle w:val="xmsolistparagraph"/>
              <w:ind w:left="0"/>
              <w:rPr>
                <w:rFonts w:asciiTheme="minorHAnsi" w:eastAsia="Times New Roman" w:hAnsiTheme="minorHAnsi" w:cstheme="minorHAnsi"/>
                <w:sz w:val="20"/>
                <w:szCs w:val="20"/>
              </w:rPr>
            </w:pPr>
            <w:r w:rsidRPr="002F1EA4">
              <w:rPr>
                <w:rFonts w:asciiTheme="minorHAnsi" w:eastAsia="Times New Roman" w:hAnsiTheme="minorHAnsi" w:cstheme="minorHAnsi"/>
                <w:sz w:val="20"/>
                <w:szCs w:val="20"/>
              </w:rPr>
              <w:t>Het pluspakket is op basis van integrale kostprijs. Bij de bepaling van de uurtarieven voor inzet van medewerkers, worden de landelijke DAR-tarieven gehanteerd.</w:t>
            </w:r>
          </w:p>
          <w:p w14:paraId="267D57C8" w14:textId="77777777" w:rsidR="00EE7185" w:rsidRPr="002F1EA4" w:rsidRDefault="00EE7185" w:rsidP="00EE7185">
            <w:pPr>
              <w:pStyle w:val="xmsolistparagraph"/>
              <w:ind w:left="0"/>
              <w:rPr>
                <w:rFonts w:asciiTheme="minorHAnsi" w:eastAsia="Times New Roman" w:hAnsiTheme="minorHAnsi" w:cstheme="minorHAnsi"/>
                <w:sz w:val="20"/>
                <w:szCs w:val="20"/>
              </w:rPr>
            </w:pPr>
          </w:p>
        </w:tc>
        <w:tc>
          <w:tcPr>
            <w:tcW w:w="3097" w:type="dxa"/>
          </w:tcPr>
          <w:p w14:paraId="319D49D5" w14:textId="77777777" w:rsidR="00EE7185" w:rsidRPr="002F1EA4" w:rsidRDefault="00EE7185" w:rsidP="00EE7185">
            <w:pPr>
              <w:pStyle w:val="xmsolistparagraph"/>
              <w:ind w:left="0"/>
              <w:rPr>
                <w:rFonts w:asciiTheme="minorHAnsi" w:eastAsia="Times New Roman" w:hAnsiTheme="minorHAnsi" w:cstheme="minorHAnsi"/>
                <w:sz w:val="20"/>
                <w:szCs w:val="20"/>
              </w:rPr>
            </w:pPr>
            <w:r w:rsidRPr="002F1EA4">
              <w:rPr>
                <w:rFonts w:asciiTheme="minorHAnsi" w:eastAsia="Times New Roman" w:hAnsiTheme="minorHAnsi" w:cstheme="minorHAnsi"/>
                <w:sz w:val="20"/>
                <w:szCs w:val="20"/>
              </w:rPr>
              <w:t xml:space="preserve">Uitvoeringsprotocol </w:t>
            </w:r>
          </w:p>
        </w:tc>
      </w:tr>
      <w:tr w:rsidR="00EE7185" w:rsidRPr="00EE7185" w14:paraId="0CA289AB" w14:textId="77777777" w:rsidTr="001A6B49">
        <w:tc>
          <w:tcPr>
            <w:tcW w:w="3096" w:type="dxa"/>
          </w:tcPr>
          <w:p w14:paraId="261A64A3" w14:textId="77777777" w:rsidR="00EE7185" w:rsidRPr="00D35478" w:rsidRDefault="00EE7185" w:rsidP="00EE7185">
            <w:pPr>
              <w:pStyle w:val="xmsolistparagraph"/>
              <w:ind w:left="0"/>
              <w:rPr>
                <w:rFonts w:asciiTheme="minorHAnsi" w:eastAsia="Times New Roman" w:hAnsiTheme="minorHAnsi" w:cstheme="minorHAnsi"/>
                <w:sz w:val="20"/>
                <w:szCs w:val="20"/>
              </w:rPr>
            </w:pPr>
            <w:r w:rsidRPr="00D35478">
              <w:rPr>
                <w:rFonts w:asciiTheme="minorHAnsi" w:eastAsia="Times New Roman" w:hAnsiTheme="minorHAnsi" w:cstheme="minorHAnsi"/>
                <w:sz w:val="20"/>
                <w:szCs w:val="20"/>
              </w:rPr>
              <w:t>Risicomanagement</w:t>
            </w:r>
          </w:p>
        </w:tc>
        <w:tc>
          <w:tcPr>
            <w:tcW w:w="3096" w:type="dxa"/>
          </w:tcPr>
          <w:p w14:paraId="5D9376A3" w14:textId="77777777" w:rsidR="00EE7185" w:rsidRPr="00D35478" w:rsidRDefault="00EE7185" w:rsidP="00EE7185">
            <w:pPr>
              <w:pStyle w:val="xmsolistparagraph"/>
              <w:ind w:left="0"/>
              <w:rPr>
                <w:rFonts w:asciiTheme="minorHAnsi" w:eastAsia="Times New Roman" w:hAnsiTheme="minorHAnsi" w:cstheme="minorHAnsi"/>
                <w:sz w:val="20"/>
                <w:szCs w:val="20"/>
              </w:rPr>
            </w:pPr>
            <w:r w:rsidRPr="00D35478">
              <w:rPr>
                <w:rFonts w:asciiTheme="minorHAnsi" w:eastAsia="Times New Roman" w:hAnsiTheme="minorHAnsi" w:cstheme="minorHAnsi"/>
                <w:sz w:val="20"/>
                <w:szCs w:val="20"/>
              </w:rPr>
              <w:t xml:space="preserve">De begroting bevat een aparte paragraaf conform BBV waarin het risicobeeld staat. Dit risicobeeld vertaalt BghU in een benodigde weerstandscapaciteit. </w:t>
            </w:r>
          </w:p>
          <w:p w14:paraId="7D3B389B" w14:textId="77777777" w:rsidR="00EE7185" w:rsidRPr="00D35478" w:rsidRDefault="00EE7185" w:rsidP="00EE7185">
            <w:pPr>
              <w:pStyle w:val="xmsolistparagraph"/>
              <w:ind w:left="0"/>
              <w:rPr>
                <w:rFonts w:asciiTheme="minorHAnsi" w:eastAsia="Times New Roman" w:hAnsiTheme="minorHAnsi" w:cstheme="minorHAnsi"/>
                <w:sz w:val="20"/>
                <w:szCs w:val="20"/>
              </w:rPr>
            </w:pPr>
          </w:p>
          <w:p w14:paraId="63F79A00" w14:textId="69053367" w:rsidR="00EE7185" w:rsidRPr="00D35478" w:rsidRDefault="00EE7185" w:rsidP="00EE7185">
            <w:pPr>
              <w:pStyle w:val="xmsolistparagraph"/>
              <w:ind w:left="0"/>
              <w:rPr>
                <w:rFonts w:asciiTheme="minorHAnsi" w:eastAsia="Times New Roman" w:hAnsiTheme="minorHAnsi" w:cstheme="minorHAnsi"/>
                <w:sz w:val="20"/>
                <w:szCs w:val="20"/>
              </w:rPr>
            </w:pPr>
            <w:r w:rsidRPr="00D35478">
              <w:rPr>
                <w:rFonts w:asciiTheme="minorHAnsi" w:eastAsia="Times New Roman" w:hAnsiTheme="minorHAnsi" w:cstheme="minorHAnsi"/>
                <w:sz w:val="20"/>
                <w:szCs w:val="20"/>
              </w:rPr>
              <w:t>Het weerstandsvermogen wordt uitgedrukt als ratio ten opzichte van de benodigde weerstands-capaciteit, waarbij geldt dat het uitgangspunt is dat de ratio groter of gelijk aan 1 moet zijn. In de begroting 202</w:t>
            </w:r>
            <w:r w:rsidR="00D35478" w:rsidRPr="00D35478">
              <w:rPr>
                <w:rFonts w:asciiTheme="minorHAnsi" w:eastAsia="Times New Roman" w:hAnsiTheme="minorHAnsi" w:cstheme="minorHAnsi"/>
                <w:sz w:val="20"/>
                <w:szCs w:val="20"/>
              </w:rPr>
              <w:t>4</w:t>
            </w:r>
            <w:r w:rsidRPr="00D35478">
              <w:rPr>
                <w:rFonts w:asciiTheme="minorHAnsi" w:eastAsia="Times New Roman" w:hAnsiTheme="minorHAnsi" w:cstheme="minorHAnsi"/>
                <w:sz w:val="20"/>
                <w:szCs w:val="20"/>
              </w:rPr>
              <w:t xml:space="preserve"> streeft BghU</w:t>
            </w:r>
            <w:r w:rsidR="00D35478" w:rsidRPr="00D35478">
              <w:rPr>
                <w:rFonts w:asciiTheme="minorHAnsi" w:eastAsia="Times New Roman" w:hAnsiTheme="minorHAnsi" w:cstheme="minorHAnsi"/>
                <w:sz w:val="20"/>
                <w:szCs w:val="20"/>
              </w:rPr>
              <w:t xml:space="preserve"> </w:t>
            </w:r>
            <w:r w:rsidRPr="00D35478">
              <w:rPr>
                <w:rFonts w:asciiTheme="minorHAnsi" w:eastAsia="Times New Roman" w:hAnsiTheme="minorHAnsi" w:cstheme="minorHAnsi"/>
                <w:sz w:val="20"/>
                <w:szCs w:val="20"/>
              </w:rPr>
              <w:t>naar een ratio van 1.0</w:t>
            </w:r>
          </w:p>
        </w:tc>
        <w:tc>
          <w:tcPr>
            <w:tcW w:w="3097" w:type="dxa"/>
          </w:tcPr>
          <w:p w14:paraId="2CDBF068" w14:textId="77777777" w:rsidR="00EE7185" w:rsidRPr="00D35478" w:rsidRDefault="00EE7185" w:rsidP="00EE7185">
            <w:pPr>
              <w:pStyle w:val="xmsolistparagraph"/>
              <w:ind w:left="0"/>
              <w:rPr>
                <w:rFonts w:asciiTheme="minorHAnsi" w:eastAsia="Times New Roman" w:hAnsiTheme="minorHAnsi" w:cstheme="minorHAnsi"/>
                <w:sz w:val="20"/>
                <w:szCs w:val="20"/>
              </w:rPr>
            </w:pPr>
            <w:r w:rsidRPr="00D35478">
              <w:rPr>
                <w:rFonts w:asciiTheme="minorHAnsi" w:eastAsia="Times New Roman" w:hAnsiTheme="minorHAnsi" w:cstheme="minorHAnsi"/>
                <w:sz w:val="20"/>
                <w:szCs w:val="20"/>
              </w:rPr>
              <w:t xml:space="preserve">BBV/ Nota Weerstandvermogen en Risicomanagement </w:t>
            </w:r>
          </w:p>
        </w:tc>
      </w:tr>
    </w:tbl>
    <w:p w14:paraId="4CE23871" w14:textId="77777777" w:rsidR="00217A3A" w:rsidRDefault="00217A3A" w:rsidP="3979A5F3">
      <w:pPr>
        <w:spacing w:after="200" w:line="276" w:lineRule="auto"/>
        <w:rPr>
          <w:rFonts w:asciiTheme="minorHAnsi" w:hAnsiTheme="minorHAnsi" w:cstheme="minorBidi"/>
          <w:color w:val="FF0000"/>
          <w:sz w:val="24"/>
        </w:rPr>
      </w:pPr>
    </w:p>
    <w:p w14:paraId="44FF890F" w14:textId="0BEAE1B9" w:rsidR="00EC6CC5" w:rsidRDefault="1C0BB173" w:rsidP="3979A5F3">
      <w:pPr>
        <w:spacing w:after="200" w:line="276" w:lineRule="auto"/>
        <w:rPr>
          <w:rFonts w:asciiTheme="minorHAnsi" w:hAnsiTheme="minorHAnsi" w:cstheme="minorBidi"/>
          <w:color w:val="FF0000"/>
          <w:sz w:val="24"/>
        </w:rPr>
      </w:pPr>
      <w:r w:rsidRPr="3979A5F3">
        <w:rPr>
          <w:rFonts w:asciiTheme="minorHAnsi" w:hAnsiTheme="minorHAnsi" w:cstheme="minorBidi"/>
          <w:color w:val="FF0000"/>
          <w:sz w:val="24"/>
        </w:rPr>
        <w:t>Financiële ontwikkelingen vanaf 2024</w:t>
      </w:r>
    </w:p>
    <w:p w14:paraId="22C62484" w14:textId="3679C425" w:rsidR="00EC6CC5" w:rsidRDefault="1C0BB173" w:rsidP="3979A5F3">
      <w:pPr>
        <w:spacing w:after="200" w:line="276" w:lineRule="auto"/>
        <w:rPr>
          <w:rFonts w:asciiTheme="minorHAnsi" w:hAnsiTheme="minorHAnsi" w:cstheme="minorBidi"/>
          <w:szCs w:val="20"/>
        </w:rPr>
      </w:pPr>
      <w:r w:rsidRPr="3979A5F3">
        <w:rPr>
          <w:rFonts w:asciiTheme="minorHAnsi" w:hAnsiTheme="minorHAnsi" w:cstheme="minorBidi"/>
          <w:i/>
          <w:iCs/>
          <w:szCs w:val="20"/>
        </w:rPr>
        <w:t>Hoge inflatie</w:t>
      </w:r>
      <w:r w:rsidR="00EC6CC5">
        <w:br/>
      </w:r>
      <w:r w:rsidR="6932C523" w:rsidRPr="3979A5F3">
        <w:rPr>
          <w:rFonts w:asciiTheme="minorHAnsi" w:hAnsiTheme="minorHAnsi" w:cstheme="minorBidi"/>
          <w:szCs w:val="20"/>
        </w:rPr>
        <w:t xml:space="preserve">Op het moment van opstellen van deze kadernota is de inflatie extreem hoog. De verwachting is dat dit zeker in 2023 nog steeds het geval zal zijn. Voor de jaren vanaf 2024 gaan we uit dat de inflatie </w:t>
      </w:r>
      <w:r w:rsidR="40699FA1" w:rsidRPr="3979A5F3">
        <w:rPr>
          <w:rFonts w:asciiTheme="minorHAnsi" w:hAnsiTheme="minorHAnsi" w:cstheme="minorBidi"/>
          <w:szCs w:val="20"/>
        </w:rPr>
        <w:t xml:space="preserve">meer onder controle komt maar we gaan nog wel uit van een hogere inflatie dan over de afgelopen jaren. </w:t>
      </w:r>
      <w:r w:rsidR="7F0E84D2" w:rsidRPr="3979A5F3">
        <w:rPr>
          <w:rFonts w:asciiTheme="minorHAnsi" w:hAnsiTheme="minorHAnsi" w:cstheme="minorBidi"/>
          <w:szCs w:val="20"/>
        </w:rPr>
        <w:t xml:space="preserve">Voor de indexatie van zowel de personele als materiële lasten gaan </w:t>
      </w:r>
      <w:r w:rsidR="7F0E84D2" w:rsidRPr="00D04CF4">
        <w:rPr>
          <w:rFonts w:asciiTheme="minorHAnsi" w:hAnsiTheme="minorHAnsi" w:cstheme="minorBidi"/>
          <w:szCs w:val="20"/>
        </w:rPr>
        <w:t xml:space="preserve">we </w:t>
      </w:r>
      <w:r w:rsidR="00A74941" w:rsidRPr="00D04CF4">
        <w:rPr>
          <w:rFonts w:asciiTheme="minorHAnsi" w:hAnsiTheme="minorHAnsi" w:cstheme="minorBidi"/>
          <w:szCs w:val="20"/>
        </w:rPr>
        <w:t xml:space="preserve">voor 2024 </w:t>
      </w:r>
      <w:r w:rsidR="7F0E84D2" w:rsidRPr="00D04CF4">
        <w:rPr>
          <w:rFonts w:asciiTheme="minorHAnsi" w:hAnsiTheme="minorHAnsi" w:cstheme="minorBidi"/>
          <w:szCs w:val="20"/>
        </w:rPr>
        <w:t>uit van</w:t>
      </w:r>
      <w:r w:rsidR="7F0E84D2" w:rsidRPr="3979A5F3">
        <w:rPr>
          <w:rFonts w:asciiTheme="minorHAnsi" w:hAnsiTheme="minorHAnsi" w:cstheme="minorBidi"/>
          <w:szCs w:val="20"/>
        </w:rPr>
        <w:t xml:space="preserve"> 4%</w:t>
      </w:r>
      <w:r w:rsidR="008D6AAA">
        <w:rPr>
          <w:rFonts w:asciiTheme="minorHAnsi" w:hAnsiTheme="minorHAnsi" w:cstheme="minorBidi"/>
          <w:szCs w:val="20"/>
        </w:rPr>
        <w:t xml:space="preserve"> en de opvolgende jaren van de cijfers </w:t>
      </w:r>
      <w:r w:rsidR="008D6AAA">
        <w:rPr>
          <w:rFonts w:asciiTheme="minorHAnsi" w:hAnsiTheme="minorHAnsi" w:cstheme="minorBidi"/>
          <w:szCs w:val="20"/>
        </w:rPr>
        <w:lastRenderedPageBreak/>
        <w:t>van het CPB</w:t>
      </w:r>
      <w:r w:rsidR="7F0E84D2" w:rsidRPr="3979A5F3">
        <w:rPr>
          <w:rFonts w:asciiTheme="minorHAnsi" w:hAnsiTheme="minorHAnsi" w:cstheme="minorBidi"/>
          <w:szCs w:val="20"/>
        </w:rPr>
        <w:t>.</w:t>
      </w:r>
      <w:r w:rsidR="0732845B" w:rsidRPr="3979A5F3">
        <w:rPr>
          <w:rFonts w:asciiTheme="minorHAnsi" w:hAnsiTheme="minorHAnsi" w:cstheme="minorBidi"/>
          <w:szCs w:val="20"/>
        </w:rPr>
        <w:t xml:space="preserve"> De inflatie en daarmee de indexatie is op dit moment erg afhankelijk</w:t>
      </w:r>
      <w:r w:rsidR="7B6DBBD6" w:rsidRPr="3979A5F3">
        <w:rPr>
          <w:rFonts w:asciiTheme="minorHAnsi" w:hAnsiTheme="minorHAnsi" w:cstheme="minorBidi"/>
          <w:szCs w:val="20"/>
        </w:rPr>
        <w:t xml:space="preserve"> van komende mondiale ontwikkelingen en is op minst erg onzeker.</w:t>
      </w:r>
    </w:p>
    <w:p w14:paraId="64A186BE" w14:textId="31AB698A" w:rsidR="00A74941" w:rsidRDefault="00A74941" w:rsidP="00A74941">
      <w:pPr>
        <w:rPr>
          <w:szCs w:val="22"/>
        </w:rPr>
      </w:pPr>
      <w:r>
        <w:rPr>
          <w:szCs w:val="22"/>
        </w:rPr>
        <w:t>In de sept</w:t>
      </w:r>
      <w:r w:rsidR="008D6AAA">
        <w:rPr>
          <w:szCs w:val="22"/>
        </w:rPr>
        <w:t>embercirculaire gemeentefonds 2023 staat genoemd dat loon- en prijsstijgingen zich als volgt ontwikkelen:</w:t>
      </w:r>
    </w:p>
    <w:tbl>
      <w:tblPr>
        <w:tblW w:w="0" w:type="auto"/>
        <w:tblCellMar>
          <w:left w:w="0" w:type="dxa"/>
          <w:right w:w="0" w:type="dxa"/>
        </w:tblCellMar>
        <w:tblLook w:val="04A0" w:firstRow="1" w:lastRow="0" w:firstColumn="1" w:lastColumn="0" w:noHBand="0" w:noVBand="1"/>
      </w:tblPr>
      <w:tblGrid>
        <w:gridCol w:w="1488"/>
        <w:gridCol w:w="1234"/>
        <w:gridCol w:w="1266"/>
        <w:gridCol w:w="1266"/>
        <w:gridCol w:w="1266"/>
        <w:gridCol w:w="1266"/>
        <w:gridCol w:w="1266"/>
      </w:tblGrid>
      <w:tr w:rsidR="00A74941" w14:paraId="6230F9EE" w14:textId="77777777" w:rsidTr="008D6AAA">
        <w:tc>
          <w:tcPr>
            <w:tcW w:w="14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BB2488" w14:textId="77777777" w:rsidR="00A74941" w:rsidRDefault="00A74941">
            <w:r>
              <w:t>Loon- en prijsstijgingen CEP 2022</w:t>
            </w:r>
          </w:p>
        </w:tc>
        <w:tc>
          <w:tcPr>
            <w:tcW w:w="12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753265" w14:textId="77777777" w:rsidR="00A74941" w:rsidRDefault="00A74941">
            <w:r>
              <w:t>2022</w:t>
            </w:r>
          </w:p>
        </w:tc>
        <w:tc>
          <w:tcPr>
            <w:tcW w:w="12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1B4759" w14:textId="77777777" w:rsidR="00A74941" w:rsidRDefault="00A74941">
            <w:r>
              <w:t>2023</w:t>
            </w:r>
          </w:p>
        </w:tc>
        <w:tc>
          <w:tcPr>
            <w:tcW w:w="12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8D086F" w14:textId="77777777" w:rsidR="00A74941" w:rsidRDefault="00A74941">
            <w:r>
              <w:t>2024</w:t>
            </w:r>
          </w:p>
        </w:tc>
        <w:tc>
          <w:tcPr>
            <w:tcW w:w="12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8961C5" w14:textId="77777777" w:rsidR="00A74941" w:rsidRDefault="00A74941">
            <w:r>
              <w:t>2025</w:t>
            </w:r>
          </w:p>
        </w:tc>
        <w:tc>
          <w:tcPr>
            <w:tcW w:w="12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787512" w14:textId="77777777" w:rsidR="00A74941" w:rsidRDefault="00A74941">
            <w:r>
              <w:t>2026</w:t>
            </w:r>
          </w:p>
        </w:tc>
        <w:tc>
          <w:tcPr>
            <w:tcW w:w="12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2FF75A" w14:textId="77777777" w:rsidR="00A74941" w:rsidRDefault="00A74941">
            <w:r>
              <w:t>2027</w:t>
            </w:r>
          </w:p>
        </w:tc>
      </w:tr>
      <w:tr w:rsidR="00A74941" w14:paraId="5679CAC7" w14:textId="77777777" w:rsidTr="008D6AAA">
        <w:tc>
          <w:tcPr>
            <w:tcW w:w="14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BF10F2F" w14:textId="77777777" w:rsidR="00A74941" w:rsidRDefault="00A74941"/>
        </w:tc>
        <w:tc>
          <w:tcPr>
            <w:tcW w:w="1234" w:type="dxa"/>
            <w:tcBorders>
              <w:top w:val="nil"/>
              <w:left w:val="nil"/>
              <w:bottom w:val="single" w:sz="8" w:space="0" w:color="auto"/>
              <w:right w:val="single" w:sz="8" w:space="0" w:color="auto"/>
            </w:tcBorders>
            <w:tcMar>
              <w:top w:w="0" w:type="dxa"/>
              <w:left w:w="108" w:type="dxa"/>
              <w:bottom w:w="0" w:type="dxa"/>
              <w:right w:w="108" w:type="dxa"/>
            </w:tcMar>
            <w:hideMark/>
          </w:tcPr>
          <w:p w14:paraId="39E041E3" w14:textId="77777777" w:rsidR="00A74941" w:rsidRDefault="00A74941">
            <w:r>
              <w:t>4,4%</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14:paraId="6B4C63B3" w14:textId="77777777" w:rsidR="00A74941" w:rsidRDefault="00A74941">
            <w:r>
              <w:t>4,12%</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14:paraId="6C99B9BE" w14:textId="77777777" w:rsidR="00A74941" w:rsidRDefault="00A74941">
            <w:r>
              <w:t>3,38%</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14:paraId="6077A7A1" w14:textId="77777777" w:rsidR="00A74941" w:rsidRDefault="00A74941">
            <w:r>
              <w:t>3,30%</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14:paraId="6966C432" w14:textId="77777777" w:rsidR="00A74941" w:rsidRDefault="00A74941">
            <w:r>
              <w:t>3,10%</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14:paraId="2681A3E8" w14:textId="77777777" w:rsidR="00A74941" w:rsidRDefault="00A74941">
            <w:r>
              <w:t>3,10%</w:t>
            </w:r>
          </w:p>
        </w:tc>
      </w:tr>
    </w:tbl>
    <w:p w14:paraId="68BE88EF" w14:textId="62FD8A81" w:rsidR="008D6AAA" w:rsidRDefault="008D6AAA" w:rsidP="008D6AAA">
      <w:pPr>
        <w:rPr>
          <w:szCs w:val="22"/>
        </w:rPr>
      </w:pPr>
      <w:r>
        <w:t>Voor de ramingen van 2025 en verder zijn de cijfers van het CPB van dit voorjaar aangehouden, omdat de Macro Economische Verkenning (MEV) niet verder dan 2023 vooruitkijkt.</w:t>
      </w:r>
    </w:p>
    <w:p w14:paraId="37BE75E4" w14:textId="77777777" w:rsidR="00A74941" w:rsidRDefault="00A74941" w:rsidP="3979A5F3">
      <w:pPr>
        <w:spacing w:after="200" w:line="276" w:lineRule="auto"/>
        <w:rPr>
          <w:rFonts w:asciiTheme="minorHAnsi" w:hAnsiTheme="minorHAnsi" w:cstheme="minorBidi"/>
          <w:szCs w:val="20"/>
        </w:rPr>
      </w:pPr>
    </w:p>
    <w:p w14:paraId="04B94064" w14:textId="33445D24" w:rsidR="00EC6CC5" w:rsidRDefault="7F0E84D2" w:rsidP="3979A5F3">
      <w:pPr>
        <w:spacing w:after="200" w:line="276" w:lineRule="auto"/>
        <w:rPr>
          <w:rFonts w:asciiTheme="minorHAnsi" w:hAnsiTheme="minorHAnsi" w:cstheme="minorBidi"/>
        </w:rPr>
      </w:pPr>
      <w:r w:rsidRPr="3979A5F3">
        <w:rPr>
          <w:rFonts w:asciiTheme="minorHAnsi" w:hAnsiTheme="minorHAnsi" w:cstheme="minorBidi"/>
          <w:i/>
          <w:iCs/>
        </w:rPr>
        <w:t>Kostenverdeling</w:t>
      </w:r>
      <w:r w:rsidR="00EC6CC5">
        <w:br/>
      </w:r>
      <w:r w:rsidR="1EBADE54" w:rsidRPr="3979A5F3">
        <w:rPr>
          <w:rFonts w:asciiTheme="minorHAnsi" w:hAnsiTheme="minorHAnsi" w:cstheme="minorBidi"/>
        </w:rPr>
        <w:t>In 2021 heeft er een onderzoek plaatsgevonden naar de kostenverdeling over de deelnemers. Uiteindelijk is er in de bestuursvergadering van december 2021</w:t>
      </w:r>
      <w:r w:rsidR="5D5FC385" w:rsidRPr="3979A5F3">
        <w:rPr>
          <w:rFonts w:asciiTheme="minorHAnsi" w:hAnsiTheme="minorHAnsi" w:cstheme="minorBidi"/>
        </w:rPr>
        <w:t xml:space="preserve"> besloten om de huidige kostenverdeling vooralsnog niet aan te passen en de hui</w:t>
      </w:r>
      <w:r w:rsidR="700F548F" w:rsidRPr="3979A5F3">
        <w:rPr>
          <w:rFonts w:asciiTheme="minorHAnsi" w:hAnsiTheme="minorHAnsi" w:cstheme="minorBidi"/>
        </w:rPr>
        <w:t>dige verdeling intact te laten.</w:t>
      </w:r>
    </w:p>
    <w:p w14:paraId="19C7CA08" w14:textId="42ED63E0" w:rsidR="00EC6CC5" w:rsidRDefault="700F548F" w:rsidP="3979A5F3">
      <w:pPr>
        <w:spacing w:after="200" w:line="276" w:lineRule="auto"/>
        <w:rPr>
          <w:rFonts w:asciiTheme="minorHAnsi" w:hAnsiTheme="minorHAnsi" w:cstheme="minorBidi"/>
        </w:rPr>
      </w:pPr>
      <w:r w:rsidRPr="3979A5F3">
        <w:rPr>
          <w:rFonts w:asciiTheme="minorHAnsi" w:hAnsiTheme="minorHAnsi" w:cstheme="minorBidi"/>
          <w:i/>
          <w:iCs/>
        </w:rPr>
        <w:t>Begroting op basis van 5 programma's</w:t>
      </w:r>
      <w:r w:rsidR="00EC6CC5">
        <w:br/>
      </w:r>
      <w:r w:rsidR="07A015F6" w:rsidRPr="3979A5F3">
        <w:rPr>
          <w:rFonts w:asciiTheme="minorHAnsi" w:hAnsiTheme="minorHAnsi" w:cstheme="minorBidi"/>
        </w:rPr>
        <w:t xml:space="preserve">De begroting 2023 is voor het eerst ingericht op 5 programma's. </w:t>
      </w:r>
      <w:r w:rsidR="6D591EF2" w:rsidRPr="3979A5F3">
        <w:rPr>
          <w:rFonts w:asciiTheme="minorHAnsi" w:hAnsiTheme="minorHAnsi" w:cstheme="minorBidi"/>
        </w:rPr>
        <w:t xml:space="preserve">Dit naar aanleiding van een grondige evaluatie van de kostenverdeelsystematiek. </w:t>
      </w:r>
      <w:r w:rsidR="07A015F6" w:rsidRPr="3979A5F3">
        <w:rPr>
          <w:rFonts w:asciiTheme="minorHAnsi" w:hAnsiTheme="minorHAnsi" w:cstheme="minorBidi"/>
        </w:rPr>
        <w:t xml:space="preserve">Voorheen was de begroting ingericht op 3 programma's. In deze kadernota </w:t>
      </w:r>
      <w:r w:rsidR="5AA98DE8" w:rsidRPr="3979A5F3">
        <w:rPr>
          <w:rFonts w:asciiTheme="minorHAnsi" w:hAnsiTheme="minorHAnsi" w:cstheme="minorBidi"/>
        </w:rPr>
        <w:t>om ook de komende jaren de begroting en meerjarenbegroting in te richten op 5 programma's.</w:t>
      </w:r>
      <w:r w:rsidR="58F48C31" w:rsidRPr="3979A5F3">
        <w:rPr>
          <w:rFonts w:asciiTheme="minorHAnsi" w:hAnsiTheme="minorHAnsi" w:cstheme="minorBidi"/>
        </w:rPr>
        <w:t xml:space="preserve"> De programma's zijn: Waardebepaling, Databeheer, Innen, Dienstverlening en Overhead.</w:t>
      </w:r>
    </w:p>
    <w:p w14:paraId="6E1801E4" w14:textId="2BD86DED" w:rsidR="00EC6CC5" w:rsidRDefault="074BEFEA" w:rsidP="3979A5F3">
      <w:pPr>
        <w:spacing w:after="200" w:line="276" w:lineRule="auto"/>
        <w:rPr>
          <w:rFonts w:asciiTheme="minorHAnsi" w:hAnsiTheme="minorHAnsi" w:cs="Arial"/>
          <w:color w:val="E10E49"/>
          <w:kern w:val="32"/>
          <w:sz w:val="32"/>
          <w:szCs w:val="32"/>
        </w:rPr>
      </w:pPr>
      <w:r w:rsidRPr="3979A5F3">
        <w:rPr>
          <w:rFonts w:asciiTheme="minorHAnsi" w:hAnsiTheme="minorHAnsi" w:cstheme="minorBidi"/>
          <w:i/>
          <w:iCs/>
        </w:rPr>
        <w:t>Investeringen</w:t>
      </w:r>
      <w:r w:rsidR="00EC6CC5">
        <w:br/>
      </w:r>
      <w:r w:rsidR="1803229A" w:rsidRPr="3979A5F3">
        <w:rPr>
          <w:rFonts w:asciiTheme="minorHAnsi" w:hAnsiTheme="minorHAnsi" w:cstheme="minorBidi"/>
        </w:rPr>
        <w:t xml:space="preserve">In 2023 zullen de laatste deelprojecten </w:t>
      </w:r>
      <w:r w:rsidR="45F0D51B" w:rsidRPr="3979A5F3">
        <w:rPr>
          <w:rFonts w:asciiTheme="minorHAnsi" w:hAnsiTheme="minorHAnsi" w:cstheme="minorBidi"/>
        </w:rPr>
        <w:t>worden afgerond van de grote ICT migratie. Voor de begroting 2024 en de meerjarenbegroting 2024-20</w:t>
      </w:r>
      <w:r w:rsidR="2DE311F1" w:rsidRPr="3979A5F3">
        <w:rPr>
          <w:rFonts w:asciiTheme="minorHAnsi" w:hAnsiTheme="minorHAnsi" w:cstheme="minorBidi"/>
        </w:rPr>
        <w:t>27 zijn geen grote investeringen opgenomen. Wel zal in deze planperiode sprake zijn van implementatie op het gebied van Werken 3.0. Dit houdt o.a. in dat de huisvesting van BghU aangepast wordt aan de n</w:t>
      </w:r>
      <w:r w:rsidR="4B563799" w:rsidRPr="3979A5F3">
        <w:rPr>
          <w:rFonts w:asciiTheme="minorHAnsi" w:hAnsiTheme="minorHAnsi" w:cstheme="minorBidi"/>
        </w:rPr>
        <w:t xml:space="preserve">ieuwste inzichten. </w:t>
      </w:r>
      <w:r w:rsidR="6CA162B1" w:rsidRPr="3979A5F3">
        <w:rPr>
          <w:rFonts w:asciiTheme="minorHAnsi" w:hAnsiTheme="minorHAnsi" w:cstheme="minorBidi"/>
        </w:rPr>
        <w:t>Omdat we dit afnemen in een dienstverleningspakket van de gemeente Utrecht vergt dit vanuit BghU geen investering. Mogelijk dat het dienstverleningspakket iets hoger gaat uitvallen dan het huidige maar verwacht wordt dat dit marginaal zal zij</w:t>
      </w:r>
      <w:r w:rsidR="77E92971" w:rsidRPr="3979A5F3">
        <w:rPr>
          <w:rFonts w:asciiTheme="minorHAnsi" w:hAnsiTheme="minorHAnsi" w:cstheme="minorBidi"/>
        </w:rPr>
        <w:t>n. We liften met het programma Werken 3.0 van de gemeente Utrecht mee.</w:t>
      </w:r>
      <w:r w:rsidR="00EC6CC5">
        <w:br w:type="page"/>
      </w:r>
    </w:p>
    <w:p w14:paraId="48ABEA5C" w14:textId="10B4406B" w:rsidR="000577D3" w:rsidRPr="0097578C" w:rsidRDefault="006961D2" w:rsidP="0097578C">
      <w:pPr>
        <w:pStyle w:val="Kop1"/>
      </w:pPr>
      <w:bookmarkStart w:id="36" w:name="_Toc121747485"/>
      <w:r>
        <w:lastRenderedPageBreak/>
        <w:t xml:space="preserve">6. </w:t>
      </w:r>
      <w:r w:rsidR="3BFBF894">
        <w:t>Vaststellingsbesluit</w:t>
      </w:r>
      <w:bookmarkEnd w:id="18"/>
      <w:bookmarkEnd w:id="19"/>
      <w:bookmarkEnd w:id="20"/>
      <w:bookmarkEnd w:id="21"/>
      <w:bookmarkEnd w:id="36"/>
    </w:p>
    <w:p w14:paraId="064AB6B9" w14:textId="77777777" w:rsidR="000577D3" w:rsidRPr="00562035" w:rsidRDefault="000577D3" w:rsidP="000577D3">
      <w:pPr>
        <w:autoSpaceDE w:val="0"/>
        <w:autoSpaceDN w:val="0"/>
        <w:adjustRightInd w:val="0"/>
        <w:rPr>
          <w:rFonts w:ascii="Garamond" w:hAnsi="Garamond" w:cs="Helvetica"/>
          <w:color w:val="000000"/>
        </w:rPr>
      </w:pPr>
    </w:p>
    <w:p w14:paraId="7B508EE0" w14:textId="4220F5D3" w:rsidR="000577D3" w:rsidRPr="00562035" w:rsidRDefault="000577D3" w:rsidP="11F9AEBF">
      <w:pPr>
        <w:autoSpaceDE w:val="0"/>
        <w:autoSpaceDN w:val="0"/>
        <w:adjustRightInd w:val="0"/>
      </w:pPr>
    </w:p>
    <w:p w14:paraId="3BAE202F" w14:textId="68C10D67" w:rsidR="000577D3" w:rsidRPr="00562035" w:rsidRDefault="000577D3" w:rsidP="11F9AEBF">
      <w:pPr>
        <w:autoSpaceDE w:val="0"/>
        <w:autoSpaceDN w:val="0"/>
        <w:adjustRightInd w:val="0"/>
      </w:pPr>
    </w:p>
    <w:p w14:paraId="22157ABA" w14:textId="198CAC5D" w:rsidR="000577D3" w:rsidRPr="006961D2" w:rsidRDefault="11F9AEBF" w:rsidP="0071091E">
      <w:pPr>
        <w:autoSpaceDE w:val="0"/>
        <w:autoSpaceDN w:val="0"/>
        <w:adjustRightInd w:val="0"/>
        <w:jc w:val="both"/>
        <w:rPr>
          <w:rFonts w:asciiTheme="minorHAnsi" w:hAnsiTheme="minorHAnsi" w:cstheme="minorHAnsi"/>
          <w:szCs w:val="18"/>
        </w:rPr>
      </w:pPr>
      <w:r w:rsidRPr="006961D2">
        <w:rPr>
          <w:rFonts w:asciiTheme="minorHAnsi" w:hAnsiTheme="minorHAnsi" w:cstheme="minorHAnsi"/>
          <w:szCs w:val="18"/>
        </w:rPr>
        <w:t>Besluit:</w:t>
      </w:r>
    </w:p>
    <w:p w14:paraId="44BD2555" w14:textId="59344B8B" w:rsidR="007215A0" w:rsidRPr="006961D2" w:rsidRDefault="008B01BB" w:rsidP="006D0C94">
      <w:pPr>
        <w:pStyle w:val="Lijstalinea"/>
        <w:numPr>
          <w:ilvl w:val="3"/>
          <w:numId w:val="10"/>
        </w:numPr>
        <w:tabs>
          <w:tab w:val="clear" w:pos="2880"/>
          <w:tab w:val="num" w:pos="567"/>
        </w:tabs>
        <w:autoSpaceDE w:val="0"/>
        <w:autoSpaceDN w:val="0"/>
        <w:adjustRightInd w:val="0"/>
        <w:ind w:left="426" w:hanging="284"/>
        <w:rPr>
          <w:rFonts w:asciiTheme="minorHAnsi" w:hAnsiTheme="minorHAnsi" w:cstheme="minorHAnsi"/>
        </w:rPr>
      </w:pPr>
      <w:r w:rsidRPr="006961D2">
        <w:rPr>
          <w:rFonts w:asciiTheme="minorHAnsi" w:hAnsiTheme="minorHAnsi" w:cstheme="minorHAnsi"/>
        </w:rPr>
        <w:t xml:space="preserve">De </w:t>
      </w:r>
      <w:r w:rsidR="006961D2" w:rsidRPr="006961D2">
        <w:rPr>
          <w:rFonts w:asciiTheme="minorHAnsi" w:hAnsiTheme="minorHAnsi" w:cstheme="minorHAnsi"/>
        </w:rPr>
        <w:t>kaders en uitgangspunten voor de begroting 2024 en het meerjarenperspectief 2025-2027 vast te stellen</w:t>
      </w:r>
      <w:r w:rsidRPr="006961D2">
        <w:rPr>
          <w:rFonts w:asciiTheme="minorHAnsi" w:hAnsiTheme="minorHAnsi" w:cstheme="minorHAnsi"/>
        </w:rPr>
        <w:t>;</w:t>
      </w:r>
    </w:p>
    <w:p w14:paraId="5A09FDBB" w14:textId="4A82B45E" w:rsidR="008B01BB" w:rsidRPr="006961D2" w:rsidRDefault="006961D2" w:rsidP="006D0C94">
      <w:pPr>
        <w:pStyle w:val="Lijstalinea"/>
        <w:numPr>
          <w:ilvl w:val="3"/>
          <w:numId w:val="10"/>
        </w:numPr>
        <w:tabs>
          <w:tab w:val="clear" w:pos="2880"/>
          <w:tab w:val="num" w:pos="567"/>
        </w:tabs>
        <w:autoSpaceDE w:val="0"/>
        <w:autoSpaceDN w:val="0"/>
        <w:adjustRightInd w:val="0"/>
        <w:ind w:left="426" w:hanging="284"/>
        <w:rPr>
          <w:rFonts w:asciiTheme="minorHAnsi" w:hAnsiTheme="minorHAnsi" w:cstheme="minorHAnsi"/>
        </w:rPr>
      </w:pPr>
      <w:r w:rsidRPr="006961D2">
        <w:rPr>
          <w:rFonts w:asciiTheme="minorHAnsi" w:hAnsiTheme="minorHAnsi" w:cstheme="minorHAnsi"/>
        </w:rPr>
        <w:t>Kennis te nemen van de organisatorische, landelijke en financiële ontwikkelingen voor de periode 2024-2027</w:t>
      </w:r>
      <w:r w:rsidR="008B01BB" w:rsidRPr="006961D2">
        <w:rPr>
          <w:rFonts w:asciiTheme="minorHAnsi" w:hAnsiTheme="minorHAnsi" w:cstheme="minorHAnsi"/>
        </w:rPr>
        <w:t>.</w:t>
      </w:r>
    </w:p>
    <w:p w14:paraId="192D8D8E" w14:textId="77777777" w:rsidR="000577D3" w:rsidRPr="006961D2" w:rsidRDefault="000577D3" w:rsidP="0071091E">
      <w:pPr>
        <w:autoSpaceDE w:val="0"/>
        <w:autoSpaceDN w:val="0"/>
        <w:adjustRightInd w:val="0"/>
        <w:ind w:left="180"/>
        <w:jc w:val="both"/>
        <w:rPr>
          <w:rFonts w:asciiTheme="minorHAnsi" w:hAnsiTheme="minorHAnsi" w:cstheme="minorHAnsi"/>
        </w:rPr>
      </w:pPr>
    </w:p>
    <w:p w14:paraId="039C4E5E" w14:textId="02B877D3" w:rsidR="000577D3" w:rsidRPr="006961D2" w:rsidRDefault="11F9AEBF" w:rsidP="0071091E">
      <w:pPr>
        <w:autoSpaceDE w:val="0"/>
        <w:autoSpaceDN w:val="0"/>
        <w:adjustRightInd w:val="0"/>
        <w:jc w:val="both"/>
        <w:rPr>
          <w:rFonts w:asciiTheme="minorHAnsi" w:hAnsiTheme="minorHAnsi" w:cstheme="minorHAnsi"/>
        </w:rPr>
      </w:pPr>
      <w:r w:rsidRPr="006961D2">
        <w:rPr>
          <w:rFonts w:asciiTheme="minorHAnsi" w:hAnsiTheme="minorHAnsi" w:cstheme="minorHAnsi"/>
          <w:szCs w:val="18"/>
        </w:rPr>
        <w:t xml:space="preserve">Aldus vastgesteld in de vergadering van het bestuur BghU van </w:t>
      </w:r>
      <w:r w:rsidR="006961D2" w:rsidRPr="006961D2">
        <w:rPr>
          <w:rFonts w:asciiTheme="minorHAnsi" w:hAnsiTheme="minorHAnsi" w:cstheme="minorHAnsi"/>
          <w:szCs w:val="18"/>
        </w:rPr>
        <w:t>7 december</w:t>
      </w:r>
      <w:r w:rsidR="007215A0" w:rsidRPr="006961D2">
        <w:rPr>
          <w:rFonts w:asciiTheme="minorHAnsi" w:hAnsiTheme="minorHAnsi" w:cstheme="minorHAnsi"/>
          <w:szCs w:val="18"/>
        </w:rPr>
        <w:t xml:space="preserve"> 2022</w:t>
      </w:r>
      <w:r w:rsidRPr="006961D2">
        <w:rPr>
          <w:rFonts w:asciiTheme="minorHAnsi" w:hAnsiTheme="minorHAnsi" w:cstheme="minorHAnsi"/>
          <w:szCs w:val="18"/>
        </w:rPr>
        <w:t>, te Utrecht.</w:t>
      </w:r>
    </w:p>
    <w:p w14:paraId="1E770E18" w14:textId="77777777" w:rsidR="000577D3" w:rsidRPr="006961D2" w:rsidRDefault="000577D3" w:rsidP="11F9AEBF">
      <w:pPr>
        <w:autoSpaceDE w:val="0"/>
        <w:autoSpaceDN w:val="0"/>
        <w:adjustRightInd w:val="0"/>
        <w:rPr>
          <w:rFonts w:asciiTheme="minorHAnsi" w:hAnsiTheme="minorHAnsi" w:cstheme="minorHAnsi"/>
        </w:rPr>
      </w:pPr>
    </w:p>
    <w:p w14:paraId="58646D0F" w14:textId="77777777" w:rsidR="000577D3" w:rsidRPr="006961D2" w:rsidRDefault="000577D3" w:rsidP="11F9AEBF">
      <w:pPr>
        <w:autoSpaceDE w:val="0"/>
        <w:autoSpaceDN w:val="0"/>
        <w:adjustRightInd w:val="0"/>
        <w:rPr>
          <w:rFonts w:asciiTheme="minorHAnsi" w:hAnsiTheme="minorHAnsi" w:cstheme="minorHAnsi"/>
        </w:rPr>
      </w:pPr>
    </w:p>
    <w:p w14:paraId="1FB8B716" w14:textId="77777777" w:rsidR="000577D3" w:rsidRPr="006961D2" w:rsidRDefault="000577D3" w:rsidP="11F9AEBF">
      <w:pPr>
        <w:autoSpaceDE w:val="0"/>
        <w:autoSpaceDN w:val="0"/>
        <w:adjustRightInd w:val="0"/>
        <w:rPr>
          <w:rFonts w:asciiTheme="minorHAnsi" w:hAnsiTheme="minorHAnsi" w:cstheme="minorHAnsi"/>
        </w:rPr>
      </w:pPr>
    </w:p>
    <w:p w14:paraId="0C548A48" w14:textId="65481FD3" w:rsidR="000577D3" w:rsidRPr="006961D2" w:rsidRDefault="11F9AEBF" w:rsidP="11F9AEBF">
      <w:pPr>
        <w:autoSpaceDE w:val="0"/>
        <w:autoSpaceDN w:val="0"/>
        <w:adjustRightInd w:val="0"/>
        <w:rPr>
          <w:rFonts w:asciiTheme="minorHAnsi" w:hAnsiTheme="minorHAnsi" w:cstheme="minorHAnsi"/>
        </w:rPr>
      </w:pPr>
      <w:r w:rsidRPr="006961D2">
        <w:rPr>
          <w:rFonts w:asciiTheme="minorHAnsi" w:hAnsiTheme="minorHAnsi" w:cstheme="minorHAnsi"/>
          <w:szCs w:val="18"/>
        </w:rPr>
        <w:t>Het Bestuur van BghU,</w:t>
      </w:r>
    </w:p>
    <w:p w14:paraId="2249A3FB" w14:textId="77777777" w:rsidR="000577D3" w:rsidRPr="006961D2" w:rsidRDefault="000577D3" w:rsidP="11F9AEBF">
      <w:pPr>
        <w:autoSpaceDE w:val="0"/>
        <w:autoSpaceDN w:val="0"/>
        <w:adjustRightInd w:val="0"/>
        <w:rPr>
          <w:rFonts w:asciiTheme="minorHAnsi" w:hAnsiTheme="minorHAnsi" w:cstheme="minorHAnsi"/>
        </w:rPr>
      </w:pPr>
    </w:p>
    <w:p w14:paraId="7E249405" w14:textId="77777777" w:rsidR="000577D3" w:rsidRPr="006961D2" w:rsidRDefault="000577D3" w:rsidP="11F9AEBF">
      <w:pPr>
        <w:autoSpaceDE w:val="0"/>
        <w:autoSpaceDN w:val="0"/>
        <w:adjustRightInd w:val="0"/>
        <w:rPr>
          <w:rFonts w:asciiTheme="minorHAnsi" w:hAnsiTheme="minorHAnsi" w:cstheme="minorHAnsi"/>
        </w:rPr>
      </w:pPr>
    </w:p>
    <w:p w14:paraId="20A153F2" w14:textId="470598E5" w:rsidR="0039628D" w:rsidRPr="006961D2" w:rsidRDefault="11F9AEBF" w:rsidP="11F9AEBF">
      <w:pPr>
        <w:rPr>
          <w:rFonts w:asciiTheme="minorHAnsi" w:hAnsiTheme="minorHAnsi" w:cstheme="minorHAnsi"/>
        </w:rPr>
      </w:pPr>
      <w:r w:rsidRPr="006961D2">
        <w:rPr>
          <w:rFonts w:asciiTheme="minorHAnsi" w:hAnsiTheme="minorHAnsi" w:cstheme="minorHAnsi"/>
          <w:szCs w:val="18"/>
        </w:rPr>
        <w:t>de voorzitter</w:t>
      </w:r>
      <w:r w:rsidR="000577D3" w:rsidRPr="006961D2">
        <w:rPr>
          <w:rFonts w:asciiTheme="minorHAnsi" w:hAnsiTheme="minorHAnsi" w:cstheme="minorHAnsi"/>
        </w:rPr>
        <w:tab/>
      </w:r>
      <w:r w:rsidR="000577D3" w:rsidRPr="006961D2">
        <w:rPr>
          <w:rFonts w:asciiTheme="minorHAnsi" w:hAnsiTheme="minorHAnsi" w:cstheme="minorHAnsi"/>
        </w:rPr>
        <w:tab/>
      </w:r>
      <w:r w:rsidR="000577D3" w:rsidRPr="006961D2">
        <w:rPr>
          <w:rFonts w:asciiTheme="minorHAnsi" w:hAnsiTheme="minorHAnsi" w:cstheme="minorHAnsi"/>
        </w:rPr>
        <w:tab/>
      </w:r>
      <w:r w:rsidR="000577D3" w:rsidRPr="006961D2">
        <w:rPr>
          <w:rFonts w:asciiTheme="minorHAnsi" w:hAnsiTheme="minorHAnsi" w:cstheme="minorHAnsi"/>
        </w:rPr>
        <w:tab/>
      </w:r>
      <w:r w:rsidR="000577D3" w:rsidRPr="006961D2">
        <w:rPr>
          <w:rFonts w:asciiTheme="minorHAnsi" w:hAnsiTheme="minorHAnsi" w:cstheme="minorHAnsi"/>
        </w:rPr>
        <w:tab/>
      </w:r>
      <w:r w:rsidR="000577D3" w:rsidRPr="006961D2">
        <w:rPr>
          <w:rFonts w:asciiTheme="minorHAnsi" w:hAnsiTheme="minorHAnsi" w:cstheme="minorHAnsi"/>
        </w:rPr>
        <w:tab/>
      </w:r>
      <w:r w:rsidR="000577D3" w:rsidRPr="006961D2">
        <w:rPr>
          <w:rFonts w:asciiTheme="minorHAnsi" w:hAnsiTheme="minorHAnsi" w:cstheme="minorHAnsi"/>
        </w:rPr>
        <w:tab/>
      </w:r>
      <w:r w:rsidRPr="006961D2">
        <w:rPr>
          <w:rFonts w:asciiTheme="minorHAnsi" w:hAnsiTheme="minorHAnsi" w:cstheme="minorHAnsi"/>
          <w:szCs w:val="18"/>
        </w:rPr>
        <w:t xml:space="preserve">de secretaris,              </w:t>
      </w:r>
    </w:p>
    <w:p w14:paraId="5C4F7ABA" w14:textId="44703B57" w:rsidR="000577D3" w:rsidRPr="006961D2" w:rsidRDefault="11F9AEBF" w:rsidP="11F9AEBF">
      <w:pPr>
        <w:rPr>
          <w:rFonts w:asciiTheme="minorHAnsi" w:hAnsiTheme="minorHAnsi" w:cstheme="minorHAnsi"/>
        </w:rPr>
      </w:pPr>
      <w:r w:rsidRPr="006961D2">
        <w:rPr>
          <w:rFonts w:asciiTheme="minorHAnsi" w:hAnsiTheme="minorHAnsi" w:cstheme="minorHAnsi"/>
          <w:szCs w:val="18"/>
        </w:rPr>
        <w:t xml:space="preserve">                                                                                             </w:t>
      </w:r>
    </w:p>
    <w:p w14:paraId="70241599" w14:textId="68EAB831" w:rsidR="000577D3" w:rsidRPr="006961D2" w:rsidRDefault="11F9AEBF" w:rsidP="11F9AEBF">
      <w:pPr>
        <w:rPr>
          <w:rFonts w:asciiTheme="minorHAnsi" w:hAnsiTheme="minorHAnsi" w:cstheme="minorHAnsi"/>
        </w:rPr>
      </w:pPr>
      <w:r w:rsidRPr="006961D2">
        <w:rPr>
          <w:rFonts w:asciiTheme="minorHAnsi" w:hAnsiTheme="minorHAnsi" w:cstheme="minorHAnsi"/>
          <w:szCs w:val="18"/>
        </w:rPr>
        <w:t xml:space="preserve">                                                                     </w:t>
      </w:r>
    </w:p>
    <w:p w14:paraId="0FA92BE3" w14:textId="68054F25" w:rsidR="0039628D" w:rsidRPr="006961D2" w:rsidRDefault="0039628D" w:rsidP="11F9AEBF">
      <w:pPr>
        <w:rPr>
          <w:rFonts w:asciiTheme="minorHAnsi" w:hAnsiTheme="minorHAnsi" w:cstheme="minorHAnsi"/>
        </w:rPr>
      </w:pPr>
    </w:p>
    <w:p w14:paraId="2EBA3AAD" w14:textId="77777777" w:rsidR="0039628D" w:rsidRPr="006961D2" w:rsidRDefault="0039628D" w:rsidP="11F9AEBF">
      <w:pPr>
        <w:rPr>
          <w:rFonts w:asciiTheme="minorHAnsi" w:hAnsiTheme="minorHAnsi" w:cstheme="minorHAnsi"/>
        </w:rPr>
      </w:pPr>
    </w:p>
    <w:p w14:paraId="335D7B3B" w14:textId="21B00DAA" w:rsidR="000577D3" w:rsidRPr="006961D2" w:rsidRDefault="11F9AEBF" w:rsidP="11F9AEBF">
      <w:pPr>
        <w:rPr>
          <w:rFonts w:asciiTheme="minorHAnsi" w:hAnsiTheme="minorHAnsi" w:cstheme="minorHAnsi"/>
        </w:rPr>
      </w:pPr>
      <w:r w:rsidRPr="006961D2">
        <w:rPr>
          <w:rFonts w:asciiTheme="minorHAnsi" w:hAnsiTheme="minorHAnsi" w:cstheme="minorHAnsi"/>
          <w:szCs w:val="18"/>
        </w:rPr>
        <w:t>J.C.H. Haan</w:t>
      </w:r>
      <w:r w:rsidR="0039628D" w:rsidRPr="006961D2">
        <w:rPr>
          <w:rFonts w:asciiTheme="minorHAnsi" w:hAnsiTheme="minorHAnsi" w:cstheme="minorHAnsi"/>
        </w:rPr>
        <w:tab/>
      </w:r>
      <w:r w:rsidR="0039628D" w:rsidRPr="006961D2">
        <w:rPr>
          <w:rFonts w:asciiTheme="minorHAnsi" w:hAnsiTheme="minorHAnsi" w:cstheme="minorHAnsi"/>
        </w:rPr>
        <w:tab/>
      </w:r>
      <w:r w:rsidR="0039628D" w:rsidRPr="006961D2">
        <w:rPr>
          <w:rFonts w:asciiTheme="minorHAnsi" w:hAnsiTheme="minorHAnsi" w:cstheme="minorHAnsi"/>
        </w:rPr>
        <w:tab/>
      </w:r>
      <w:r w:rsidR="0039628D" w:rsidRPr="006961D2">
        <w:rPr>
          <w:rFonts w:asciiTheme="minorHAnsi" w:hAnsiTheme="minorHAnsi" w:cstheme="minorHAnsi"/>
        </w:rPr>
        <w:tab/>
      </w:r>
      <w:r w:rsidR="0039628D" w:rsidRPr="006961D2">
        <w:rPr>
          <w:rFonts w:asciiTheme="minorHAnsi" w:hAnsiTheme="minorHAnsi" w:cstheme="minorHAnsi"/>
        </w:rPr>
        <w:tab/>
      </w:r>
      <w:r w:rsidR="0039628D" w:rsidRPr="006961D2">
        <w:rPr>
          <w:rFonts w:asciiTheme="minorHAnsi" w:hAnsiTheme="minorHAnsi" w:cstheme="minorHAnsi"/>
        </w:rPr>
        <w:tab/>
      </w:r>
      <w:r w:rsidR="0039628D" w:rsidRPr="006961D2">
        <w:rPr>
          <w:rFonts w:asciiTheme="minorHAnsi" w:hAnsiTheme="minorHAnsi" w:cstheme="minorHAnsi"/>
        </w:rPr>
        <w:tab/>
      </w:r>
      <w:r w:rsidRPr="006961D2">
        <w:rPr>
          <w:rFonts w:asciiTheme="minorHAnsi" w:hAnsiTheme="minorHAnsi" w:cstheme="minorHAnsi"/>
          <w:szCs w:val="18"/>
        </w:rPr>
        <w:t>M. Vrisou van Eck</w:t>
      </w:r>
    </w:p>
    <w:p w14:paraId="244D4899" w14:textId="77777777" w:rsidR="000577D3" w:rsidRPr="006961D2" w:rsidRDefault="000577D3" w:rsidP="000577D3">
      <w:pPr>
        <w:autoSpaceDE w:val="0"/>
        <w:autoSpaceDN w:val="0"/>
        <w:adjustRightInd w:val="0"/>
        <w:rPr>
          <w:rFonts w:asciiTheme="minorHAnsi" w:hAnsiTheme="minorHAnsi" w:cstheme="minorHAnsi"/>
          <w:color w:val="000000"/>
          <w:highlight w:val="yellow"/>
        </w:rPr>
      </w:pPr>
    </w:p>
    <w:p w14:paraId="43E6D7F8" w14:textId="77777777" w:rsidR="000577D3" w:rsidRPr="006961D2" w:rsidRDefault="000577D3" w:rsidP="000577D3">
      <w:pPr>
        <w:autoSpaceDE w:val="0"/>
        <w:autoSpaceDN w:val="0"/>
        <w:adjustRightInd w:val="0"/>
        <w:rPr>
          <w:rFonts w:asciiTheme="minorHAnsi" w:hAnsiTheme="minorHAnsi" w:cstheme="minorHAnsi"/>
          <w:color w:val="000000"/>
          <w:highlight w:val="yellow"/>
        </w:rPr>
      </w:pPr>
    </w:p>
    <w:p w14:paraId="09F81C64" w14:textId="77777777" w:rsidR="000577D3" w:rsidRPr="006961D2" w:rsidRDefault="000577D3" w:rsidP="000577D3">
      <w:pPr>
        <w:autoSpaceDE w:val="0"/>
        <w:autoSpaceDN w:val="0"/>
        <w:adjustRightInd w:val="0"/>
        <w:rPr>
          <w:rFonts w:asciiTheme="minorHAnsi" w:hAnsiTheme="minorHAnsi" w:cstheme="minorHAnsi"/>
          <w:color w:val="000000"/>
          <w:highlight w:val="yellow"/>
        </w:rPr>
      </w:pPr>
    </w:p>
    <w:p w14:paraId="0E65CCE6" w14:textId="77777777" w:rsidR="000577D3" w:rsidRPr="006961D2" w:rsidRDefault="000577D3" w:rsidP="000577D3">
      <w:pPr>
        <w:autoSpaceDE w:val="0"/>
        <w:autoSpaceDN w:val="0"/>
        <w:adjustRightInd w:val="0"/>
        <w:rPr>
          <w:rFonts w:asciiTheme="minorHAnsi" w:hAnsiTheme="minorHAnsi" w:cstheme="minorHAnsi"/>
          <w:color w:val="000000"/>
          <w:highlight w:val="yellow"/>
        </w:rPr>
      </w:pPr>
    </w:p>
    <w:p w14:paraId="23D4597A" w14:textId="29CA6833" w:rsidR="00B733F3" w:rsidRPr="006961D2" w:rsidRDefault="00B733F3">
      <w:pPr>
        <w:spacing w:after="200" w:line="276" w:lineRule="auto"/>
        <w:rPr>
          <w:rFonts w:asciiTheme="minorHAnsi" w:hAnsiTheme="minorHAnsi" w:cstheme="minorHAnsi"/>
          <w:b/>
          <w:bCs/>
          <w:color w:val="1F497D" w:themeColor="text2"/>
          <w:kern w:val="32"/>
          <w:sz w:val="28"/>
          <w:szCs w:val="32"/>
        </w:rPr>
      </w:pPr>
    </w:p>
    <w:sectPr w:rsidR="00B733F3" w:rsidRPr="006961D2" w:rsidSect="003436E8">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B0D35" w14:textId="77777777" w:rsidR="009E08D6" w:rsidRDefault="009E08D6" w:rsidP="009246F5">
      <w:r>
        <w:separator/>
      </w:r>
    </w:p>
  </w:endnote>
  <w:endnote w:type="continuationSeparator" w:id="0">
    <w:p w14:paraId="0B03C4FD" w14:textId="77777777" w:rsidR="009E08D6" w:rsidRDefault="009E08D6" w:rsidP="009246F5">
      <w:r>
        <w:continuationSeparator/>
      </w:r>
    </w:p>
  </w:endnote>
  <w:endnote w:type="continuationNotice" w:id="1">
    <w:p w14:paraId="2C2495BB" w14:textId="77777777" w:rsidR="009E08D6" w:rsidRDefault="009E08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
    <w:altName w:val="Yu Gothic"/>
    <w:charset w:val="80"/>
    <w:family w:val="auto"/>
    <w:pitch w:val="variable"/>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ldhabi">
    <w:altName w:val="Aldhabi"/>
    <w:charset w:val="B2"/>
    <w:family w:val="auto"/>
    <w:pitch w:val="variable"/>
    <w:sig w:usb0="80002007"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Bold">
    <w:altName w:val="Helvetica"/>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45427" w14:textId="77777777" w:rsidR="009E08D6" w:rsidRDefault="009E08D6" w:rsidP="003436E8">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14:paraId="0ECD260D" w14:textId="77777777" w:rsidR="009E08D6" w:rsidRDefault="009E08D6">
    <w:pPr>
      <w:pStyle w:val="Voettekst"/>
    </w:pPr>
  </w:p>
  <w:p w14:paraId="6F3977F1" w14:textId="77777777" w:rsidR="009E08D6" w:rsidRDefault="009E08D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81E73" w14:textId="77777777" w:rsidR="009E08D6" w:rsidRDefault="009E08D6" w:rsidP="003436E8">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4</w:t>
    </w:r>
    <w:r>
      <w:rPr>
        <w:rStyle w:val="Paginanummer"/>
      </w:rPr>
      <w:fldChar w:fldCharType="end"/>
    </w:r>
  </w:p>
  <w:p w14:paraId="340502BC" w14:textId="2DC844F8" w:rsidR="009E08D6" w:rsidRDefault="009E08D6">
    <w:pPr>
      <w:pStyle w:val="Voettekst"/>
    </w:pPr>
    <w:r>
      <w:rPr>
        <w:noProof/>
      </w:rPr>
      <w:drawing>
        <wp:anchor distT="0" distB="0" distL="114300" distR="114300" simplePos="0" relativeHeight="251658240" behindDoc="0" locked="0" layoutInCell="1" allowOverlap="1" wp14:anchorId="770AA07A" wp14:editId="0BB33F64">
          <wp:simplePos x="0" y="0"/>
          <wp:positionH relativeFrom="margin">
            <wp:posOffset>-327546</wp:posOffset>
          </wp:positionH>
          <wp:positionV relativeFrom="bottomMargin">
            <wp:align>top</wp:align>
          </wp:positionV>
          <wp:extent cx="2501900" cy="620395"/>
          <wp:effectExtent l="0" t="0" r="0" b="8255"/>
          <wp:wrapSquare wrapText="bothSides"/>
          <wp:docPr id="6" name="Afbeelding 7" descr="bghu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1">
                    <a:extLst>
                      <a:ext uri="{28A0092B-C50C-407E-A947-70E740481C1C}">
                        <a14:useLocalDpi xmlns:a14="http://schemas.microsoft.com/office/drawing/2010/main" val="0"/>
                      </a:ext>
                    </a:extLst>
                  </a:blip>
                  <a:stretch>
                    <a:fillRect/>
                  </a:stretch>
                </pic:blipFill>
                <pic:spPr>
                  <a:xfrm>
                    <a:off x="0" y="0"/>
                    <a:ext cx="2524346" cy="626446"/>
                  </a:xfrm>
                  <a:prstGeom prst="rect">
                    <a:avLst/>
                  </a:prstGeom>
                </pic:spPr>
              </pic:pic>
            </a:graphicData>
          </a:graphic>
          <wp14:sizeRelH relativeFrom="margin">
            <wp14:pctWidth>0</wp14:pctWidth>
          </wp14:sizeRelH>
          <wp14:sizeRelV relativeFrom="margin">
            <wp14:pctHeight>0</wp14:pctHeight>
          </wp14:sizeRelV>
        </wp:anchor>
      </w:drawing>
    </w:r>
  </w:p>
  <w:p w14:paraId="3F46C1C9" w14:textId="77777777" w:rsidR="009E08D6" w:rsidRDefault="009E08D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9E08D6" w14:paraId="0D2B838B" w14:textId="77777777" w:rsidTr="6F850257">
      <w:tc>
        <w:tcPr>
          <w:tcW w:w="3020" w:type="dxa"/>
        </w:tcPr>
        <w:p w14:paraId="27975EA6" w14:textId="63A45992" w:rsidR="009E08D6" w:rsidRDefault="009E08D6" w:rsidP="6F850257">
          <w:pPr>
            <w:pStyle w:val="Koptekst"/>
            <w:ind w:left="-115"/>
          </w:pPr>
        </w:p>
      </w:tc>
      <w:tc>
        <w:tcPr>
          <w:tcW w:w="3020" w:type="dxa"/>
        </w:tcPr>
        <w:p w14:paraId="24EE8D77" w14:textId="3D6010CB" w:rsidR="009E08D6" w:rsidRDefault="009E08D6" w:rsidP="6F850257">
          <w:pPr>
            <w:pStyle w:val="Koptekst"/>
            <w:jc w:val="center"/>
          </w:pPr>
        </w:p>
      </w:tc>
      <w:tc>
        <w:tcPr>
          <w:tcW w:w="3020" w:type="dxa"/>
        </w:tcPr>
        <w:p w14:paraId="14B04381" w14:textId="34652F92" w:rsidR="009E08D6" w:rsidRDefault="009E08D6" w:rsidP="6F850257">
          <w:pPr>
            <w:pStyle w:val="Koptekst"/>
            <w:ind w:right="-115"/>
            <w:jc w:val="right"/>
          </w:pPr>
        </w:p>
      </w:tc>
    </w:tr>
  </w:tbl>
  <w:p w14:paraId="387FE71B" w14:textId="0E002970" w:rsidR="009E08D6" w:rsidRDefault="009E08D6" w:rsidP="6F85025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140DF" w14:textId="77777777" w:rsidR="009E08D6" w:rsidRDefault="009E08D6" w:rsidP="009246F5">
      <w:r>
        <w:separator/>
      </w:r>
    </w:p>
  </w:footnote>
  <w:footnote w:type="continuationSeparator" w:id="0">
    <w:p w14:paraId="7B1B7721" w14:textId="77777777" w:rsidR="009E08D6" w:rsidRDefault="009E08D6" w:rsidP="009246F5">
      <w:r>
        <w:continuationSeparator/>
      </w:r>
    </w:p>
  </w:footnote>
  <w:footnote w:type="continuationNotice" w:id="1">
    <w:p w14:paraId="50B47C35" w14:textId="77777777" w:rsidR="009E08D6" w:rsidRDefault="009E08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9E08D6" w14:paraId="478C83AD" w14:textId="77777777" w:rsidTr="6F850257">
      <w:tc>
        <w:tcPr>
          <w:tcW w:w="3020" w:type="dxa"/>
        </w:tcPr>
        <w:p w14:paraId="64CA2550" w14:textId="2074E207" w:rsidR="009E08D6" w:rsidRDefault="009E08D6" w:rsidP="6F850257">
          <w:pPr>
            <w:pStyle w:val="Koptekst"/>
            <w:ind w:left="-115"/>
          </w:pPr>
        </w:p>
      </w:tc>
      <w:tc>
        <w:tcPr>
          <w:tcW w:w="3020" w:type="dxa"/>
        </w:tcPr>
        <w:p w14:paraId="4256B563" w14:textId="6C2BEFFB" w:rsidR="009E08D6" w:rsidRDefault="009E08D6" w:rsidP="6F850257">
          <w:pPr>
            <w:pStyle w:val="Koptekst"/>
            <w:jc w:val="center"/>
          </w:pPr>
        </w:p>
      </w:tc>
      <w:tc>
        <w:tcPr>
          <w:tcW w:w="3020" w:type="dxa"/>
        </w:tcPr>
        <w:p w14:paraId="3E454816" w14:textId="20057E8E" w:rsidR="009E08D6" w:rsidRDefault="009E08D6" w:rsidP="6F850257">
          <w:pPr>
            <w:pStyle w:val="Koptekst"/>
            <w:ind w:right="-115"/>
            <w:jc w:val="right"/>
          </w:pPr>
        </w:p>
      </w:tc>
    </w:tr>
  </w:tbl>
  <w:p w14:paraId="7BC480A1" w14:textId="353D648C" w:rsidR="009E08D6" w:rsidRDefault="009E08D6" w:rsidP="6F85025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0"/>
      <w:gridCol w:w="3020"/>
      <w:gridCol w:w="3020"/>
    </w:tblGrid>
    <w:tr w:rsidR="009E08D6" w14:paraId="0492243B" w14:textId="77777777" w:rsidTr="6F850257">
      <w:tc>
        <w:tcPr>
          <w:tcW w:w="3020" w:type="dxa"/>
        </w:tcPr>
        <w:p w14:paraId="41DE26D3" w14:textId="311BE9E9" w:rsidR="009E08D6" w:rsidRDefault="009E08D6" w:rsidP="6F850257">
          <w:pPr>
            <w:pStyle w:val="Koptekst"/>
            <w:ind w:left="-115"/>
          </w:pPr>
        </w:p>
      </w:tc>
      <w:tc>
        <w:tcPr>
          <w:tcW w:w="3020" w:type="dxa"/>
        </w:tcPr>
        <w:p w14:paraId="1E7FD228" w14:textId="6A23E691" w:rsidR="009E08D6" w:rsidRDefault="009E08D6" w:rsidP="6F850257">
          <w:pPr>
            <w:pStyle w:val="Koptekst"/>
            <w:jc w:val="center"/>
          </w:pPr>
        </w:p>
      </w:tc>
      <w:tc>
        <w:tcPr>
          <w:tcW w:w="3020" w:type="dxa"/>
        </w:tcPr>
        <w:p w14:paraId="24626B58" w14:textId="50B3132D" w:rsidR="009E08D6" w:rsidRDefault="009E08D6" w:rsidP="6F850257">
          <w:pPr>
            <w:pStyle w:val="Koptekst"/>
            <w:ind w:right="-115"/>
            <w:jc w:val="right"/>
          </w:pPr>
        </w:p>
      </w:tc>
    </w:tr>
  </w:tbl>
  <w:p w14:paraId="1D8E93FA" w14:textId="30794438" w:rsidR="009E08D6" w:rsidRDefault="009E08D6" w:rsidP="6F850257">
    <w:pPr>
      <w:pStyle w:val="Koptekst"/>
    </w:pPr>
  </w:p>
</w:hdr>
</file>

<file path=word/intelligence2.xml><?xml version="1.0" encoding="utf-8"?>
<int2:intelligence xmlns:int2="http://schemas.microsoft.com/office/intelligence/2020/intelligence" xmlns:oel="http://schemas.microsoft.com/office/2019/extlst">
  <int2:observations>
    <int2:textHash int2:hashCode="NGkp2K0iBG6DT5" int2:id="XViKsAaY">
      <int2:state int2:value="Rejected" int2:type="LegacyProofing"/>
    </int2:textHash>
    <int2:textHash int2:hashCode="VwJBJbjYw/bWn5" int2:id="ewbp7Z9h">
      <int2:state int2:value="Rejected" int2:type="LegacyProofing"/>
    </int2:textHash>
    <int2:textHash int2:hashCode="JzT0WIXx1Kiklh" int2:id="ezfe5nmw">
      <int2:state int2:value="Rejected" int2:type="LegacyProofing"/>
    </int2:textHash>
    <int2:textHash int2:hashCode="TcIyoGjlPkJMe2" int2:id="jImTvYjQ">
      <int2:state int2:value="Rejected" int2:type="LegacyProofing"/>
    </int2:textHash>
    <int2:textHash int2:hashCode="HX00WMTZThATqY" int2:id="pUpPmQRB">
      <int2:state int2:value="Rejected" int2:type="LegacyProofing"/>
    </int2:textHash>
    <int2:textHash int2:hashCode="NWdeaPS1r3uZXZ" int2:id="q9nfu2mT">
      <int2:state int2:value="Rejected" int2:type="LegacyProofing"/>
    </int2:textHash>
    <int2:textHash int2:hashCode="omIMvBD1GY3QPj" int2:id="zGDhMMAO">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A69A759"/>
    <w:multiLevelType w:val="hybridMultilevel"/>
    <w:tmpl w:val="B007E5C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E6FAB644"/>
    <w:lvl w:ilvl="0">
      <w:start w:val="1"/>
      <w:numFmt w:val="decimal"/>
      <w:pStyle w:val="Lijstnummering"/>
      <w:lvlText w:val="%1."/>
      <w:lvlJc w:val="left"/>
      <w:pPr>
        <w:tabs>
          <w:tab w:val="num" w:pos="360"/>
        </w:tabs>
        <w:ind w:left="360" w:hanging="360"/>
      </w:pPr>
      <w:rPr>
        <w:rFonts w:cs="Times New Roman"/>
      </w:rPr>
    </w:lvl>
  </w:abstractNum>
  <w:abstractNum w:abstractNumId="2" w15:restartNumberingAfterBreak="0">
    <w:nsid w:val="FFFFFF89"/>
    <w:multiLevelType w:val="singleLevel"/>
    <w:tmpl w:val="D08E9476"/>
    <w:lvl w:ilvl="0">
      <w:start w:val="1"/>
      <w:numFmt w:val="bullet"/>
      <w:pStyle w:val="Lijstopsomteken"/>
      <w:lvlText w:val=""/>
      <w:lvlJc w:val="left"/>
      <w:pPr>
        <w:tabs>
          <w:tab w:val="num" w:pos="360"/>
        </w:tabs>
        <w:ind w:left="360" w:hanging="360"/>
      </w:pPr>
      <w:rPr>
        <w:rFonts w:ascii="Symbol" w:hAnsi="Symbol" w:hint="default"/>
      </w:rPr>
    </w:lvl>
  </w:abstractNum>
  <w:abstractNum w:abstractNumId="3" w15:restartNumberingAfterBreak="0">
    <w:nsid w:val="04CEC1E8"/>
    <w:multiLevelType w:val="hybridMultilevel"/>
    <w:tmpl w:val="95A973A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CED0365"/>
    <w:multiLevelType w:val="hybridMultilevel"/>
    <w:tmpl w:val="FFFFFFFF"/>
    <w:lvl w:ilvl="0" w:tplc="34841DAA">
      <w:start w:val="1"/>
      <w:numFmt w:val="bullet"/>
      <w:lvlText w:val="-"/>
      <w:lvlJc w:val="left"/>
      <w:pPr>
        <w:ind w:left="720" w:hanging="360"/>
      </w:pPr>
      <w:rPr>
        <w:rFonts w:ascii="Calibri" w:hAnsi="Calibri" w:hint="default"/>
      </w:rPr>
    </w:lvl>
    <w:lvl w:ilvl="1" w:tplc="565C9248">
      <w:start w:val="1"/>
      <w:numFmt w:val="bullet"/>
      <w:lvlText w:val="o"/>
      <w:lvlJc w:val="left"/>
      <w:pPr>
        <w:ind w:left="1440" w:hanging="360"/>
      </w:pPr>
      <w:rPr>
        <w:rFonts w:ascii="Courier New" w:hAnsi="Courier New" w:hint="default"/>
      </w:rPr>
    </w:lvl>
    <w:lvl w:ilvl="2" w:tplc="7B3E7C2E">
      <w:start w:val="1"/>
      <w:numFmt w:val="bullet"/>
      <w:lvlText w:val=""/>
      <w:lvlJc w:val="left"/>
      <w:pPr>
        <w:ind w:left="2160" w:hanging="360"/>
      </w:pPr>
      <w:rPr>
        <w:rFonts w:ascii="Wingdings" w:hAnsi="Wingdings" w:hint="default"/>
      </w:rPr>
    </w:lvl>
    <w:lvl w:ilvl="3" w:tplc="93DA9F1E">
      <w:start w:val="1"/>
      <w:numFmt w:val="bullet"/>
      <w:lvlText w:val=""/>
      <w:lvlJc w:val="left"/>
      <w:pPr>
        <w:ind w:left="2880" w:hanging="360"/>
      </w:pPr>
      <w:rPr>
        <w:rFonts w:ascii="Symbol" w:hAnsi="Symbol" w:hint="default"/>
      </w:rPr>
    </w:lvl>
    <w:lvl w:ilvl="4" w:tplc="F04AFD28">
      <w:start w:val="1"/>
      <w:numFmt w:val="bullet"/>
      <w:lvlText w:val="o"/>
      <w:lvlJc w:val="left"/>
      <w:pPr>
        <w:ind w:left="3600" w:hanging="360"/>
      </w:pPr>
      <w:rPr>
        <w:rFonts w:ascii="Courier New" w:hAnsi="Courier New" w:hint="default"/>
      </w:rPr>
    </w:lvl>
    <w:lvl w:ilvl="5" w:tplc="B394BC40">
      <w:start w:val="1"/>
      <w:numFmt w:val="bullet"/>
      <w:lvlText w:val=""/>
      <w:lvlJc w:val="left"/>
      <w:pPr>
        <w:ind w:left="4320" w:hanging="360"/>
      </w:pPr>
      <w:rPr>
        <w:rFonts w:ascii="Wingdings" w:hAnsi="Wingdings" w:hint="default"/>
      </w:rPr>
    </w:lvl>
    <w:lvl w:ilvl="6" w:tplc="5336CA7C">
      <w:start w:val="1"/>
      <w:numFmt w:val="bullet"/>
      <w:lvlText w:val=""/>
      <w:lvlJc w:val="left"/>
      <w:pPr>
        <w:ind w:left="5040" w:hanging="360"/>
      </w:pPr>
      <w:rPr>
        <w:rFonts w:ascii="Symbol" w:hAnsi="Symbol" w:hint="default"/>
      </w:rPr>
    </w:lvl>
    <w:lvl w:ilvl="7" w:tplc="808CFE72">
      <w:start w:val="1"/>
      <w:numFmt w:val="bullet"/>
      <w:lvlText w:val="o"/>
      <w:lvlJc w:val="left"/>
      <w:pPr>
        <w:ind w:left="5760" w:hanging="360"/>
      </w:pPr>
      <w:rPr>
        <w:rFonts w:ascii="Courier New" w:hAnsi="Courier New" w:hint="default"/>
      </w:rPr>
    </w:lvl>
    <w:lvl w:ilvl="8" w:tplc="175EB512">
      <w:start w:val="1"/>
      <w:numFmt w:val="bullet"/>
      <w:lvlText w:val=""/>
      <w:lvlJc w:val="left"/>
      <w:pPr>
        <w:ind w:left="6480" w:hanging="360"/>
      </w:pPr>
      <w:rPr>
        <w:rFonts w:ascii="Wingdings" w:hAnsi="Wingdings" w:hint="default"/>
      </w:rPr>
    </w:lvl>
  </w:abstractNum>
  <w:abstractNum w:abstractNumId="5" w15:restartNumberingAfterBreak="0">
    <w:nsid w:val="0DCE3D94"/>
    <w:multiLevelType w:val="hybridMultilevel"/>
    <w:tmpl w:val="9136690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0EBF709B"/>
    <w:multiLevelType w:val="hybridMultilevel"/>
    <w:tmpl w:val="86E8D500"/>
    <w:lvl w:ilvl="0" w:tplc="6FEC2FBC">
      <w:start w:val="1"/>
      <w:numFmt w:val="bullet"/>
      <w:pStyle w:val="BTStip1"/>
      <w:lvlText w:val=""/>
      <w:lvlJc w:val="left"/>
      <w:pPr>
        <w:tabs>
          <w:tab w:val="num" w:pos="340"/>
        </w:tabs>
        <w:ind w:left="340" w:hanging="340"/>
      </w:pPr>
      <w:rPr>
        <w:rFonts w:ascii="Wingdings 2" w:hAnsi="Wingdings 2" w:hint="default"/>
        <w:color w:val="auto"/>
        <w:sz w:val="12"/>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DB9085"/>
    <w:multiLevelType w:val="hybridMultilevel"/>
    <w:tmpl w:val="FFFFFFFF"/>
    <w:lvl w:ilvl="0" w:tplc="6EB0C2A8">
      <w:start w:val="1"/>
      <w:numFmt w:val="bullet"/>
      <w:lvlText w:val="·"/>
      <w:lvlJc w:val="left"/>
      <w:pPr>
        <w:ind w:left="720" w:hanging="360"/>
      </w:pPr>
      <w:rPr>
        <w:rFonts w:ascii="Symbol" w:hAnsi="Symbol" w:hint="default"/>
      </w:rPr>
    </w:lvl>
    <w:lvl w:ilvl="1" w:tplc="61520FD0">
      <w:start w:val="1"/>
      <w:numFmt w:val="bullet"/>
      <w:lvlText w:val="o"/>
      <w:lvlJc w:val="left"/>
      <w:pPr>
        <w:ind w:left="1440" w:hanging="360"/>
      </w:pPr>
      <w:rPr>
        <w:rFonts w:ascii="Courier New" w:hAnsi="Courier New" w:hint="default"/>
      </w:rPr>
    </w:lvl>
    <w:lvl w:ilvl="2" w:tplc="1A385600">
      <w:start w:val="1"/>
      <w:numFmt w:val="bullet"/>
      <w:lvlText w:val=""/>
      <w:lvlJc w:val="left"/>
      <w:pPr>
        <w:ind w:left="2160" w:hanging="360"/>
      </w:pPr>
      <w:rPr>
        <w:rFonts w:ascii="Wingdings" w:hAnsi="Wingdings" w:hint="default"/>
      </w:rPr>
    </w:lvl>
    <w:lvl w:ilvl="3" w:tplc="CDFE434E">
      <w:start w:val="1"/>
      <w:numFmt w:val="bullet"/>
      <w:lvlText w:val=""/>
      <w:lvlJc w:val="left"/>
      <w:pPr>
        <w:ind w:left="2880" w:hanging="360"/>
      </w:pPr>
      <w:rPr>
        <w:rFonts w:ascii="Symbol" w:hAnsi="Symbol" w:hint="default"/>
      </w:rPr>
    </w:lvl>
    <w:lvl w:ilvl="4" w:tplc="7E180042">
      <w:start w:val="1"/>
      <w:numFmt w:val="bullet"/>
      <w:lvlText w:val="o"/>
      <w:lvlJc w:val="left"/>
      <w:pPr>
        <w:ind w:left="3600" w:hanging="360"/>
      </w:pPr>
      <w:rPr>
        <w:rFonts w:ascii="Courier New" w:hAnsi="Courier New" w:hint="default"/>
      </w:rPr>
    </w:lvl>
    <w:lvl w:ilvl="5" w:tplc="226CDEFA">
      <w:start w:val="1"/>
      <w:numFmt w:val="bullet"/>
      <w:lvlText w:val=""/>
      <w:lvlJc w:val="left"/>
      <w:pPr>
        <w:ind w:left="4320" w:hanging="360"/>
      </w:pPr>
      <w:rPr>
        <w:rFonts w:ascii="Wingdings" w:hAnsi="Wingdings" w:hint="default"/>
      </w:rPr>
    </w:lvl>
    <w:lvl w:ilvl="6" w:tplc="C8E80AA0">
      <w:start w:val="1"/>
      <w:numFmt w:val="bullet"/>
      <w:lvlText w:val=""/>
      <w:lvlJc w:val="left"/>
      <w:pPr>
        <w:ind w:left="5040" w:hanging="360"/>
      </w:pPr>
      <w:rPr>
        <w:rFonts w:ascii="Symbol" w:hAnsi="Symbol" w:hint="default"/>
      </w:rPr>
    </w:lvl>
    <w:lvl w:ilvl="7" w:tplc="EA9C0104">
      <w:start w:val="1"/>
      <w:numFmt w:val="bullet"/>
      <w:lvlText w:val="o"/>
      <w:lvlJc w:val="left"/>
      <w:pPr>
        <w:ind w:left="5760" w:hanging="360"/>
      </w:pPr>
      <w:rPr>
        <w:rFonts w:ascii="Courier New" w:hAnsi="Courier New" w:hint="default"/>
      </w:rPr>
    </w:lvl>
    <w:lvl w:ilvl="8" w:tplc="44725572">
      <w:start w:val="1"/>
      <w:numFmt w:val="bullet"/>
      <w:lvlText w:val=""/>
      <w:lvlJc w:val="left"/>
      <w:pPr>
        <w:ind w:left="6480" w:hanging="360"/>
      </w:pPr>
      <w:rPr>
        <w:rFonts w:ascii="Wingdings" w:hAnsi="Wingdings" w:hint="default"/>
      </w:rPr>
    </w:lvl>
  </w:abstractNum>
  <w:abstractNum w:abstractNumId="8" w15:restartNumberingAfterBreak="0">
    <w:nsid w:val="104D570A"/>
    <w:multiLevelType w:val="hybridMultilevel"/>
    <w:tmpl w:val="FFFFFFFF"/>
    <w:lvl w:ilvl="0" w:tplc="CC149D92">
      <w:start w:val="1"/>
      <w:numFmt w:val="bullet"/>
      <w:lvlText w:val="-"/>
      <w:lvlJc w:val="left"/>
      <w:pPr>
        <w:ind w:left="720" w:hanging="360"/>
      </w:pPr>
      <w:rPr>
        <w:rFonts w:ascii="Calibri" w:hAnsi="Calibri" w:hint="default"/>
      </w:rPr>
    </w:lvl>
    <w:lvl w:ilvl="1" w:tplc="6E425C94">
      <w:start w:val="1"/>
      <w:numFmt w:val="bullet"/>
      <w:lvlText w:val="o"/>
      <w:lvlJc w:val="left"/>
      <w:pPr>
        <w:ind w:left="1440" w:hanging="360"/>
      </w:pPr>
      <w:rPr>
        <w:rFonts w:ascii="Courier New" w:hAnsi="Courier New" w:hint="default"/>
      </w:rPr>
    </w:lvl>
    <w:lvl w:ilvl="2" w:tplc="0C741EBA">
      <w:start w:val="1"/>
      <w:numFmt w:val="bullet"/>
      <w:lvlText w:val=""/>
      <w:lvlJc w:val="left"/>
      <w:pPr>
        <w:ind w:left="2160" w:hanging="360"/>
      </w:pPr>
      <w:rPr>
        <w:rFonts w:ascii="Wingdings" w:hAnsi="Wingdings" w:hint="default"/>
      </w:rPr>
    </w:lvl>
    <w:lvl w:ilvl="3" w:tplc="1D4EB3FE">
      <w:start w:val="1"/>
      <w:numFmt w:val="bullet"/>
      <w:lvlText w:val=""/>
      <w:lvlJc w:val="left"/>
      <w:pPr>
        <w:ind w:left="2880" w:hanging="360"/>
      </w:pPr>
      <w:rPr>
        <w:rFonts w:ascii="Symbol" w:hAnsi="Symbol" w:hint="default"/>
      </w:rPr>
    </w:lvl>
    <w:lvl w:ilvl="4" w:tplc="B002E896">
      <w:start w:val="1"/>
      <w:numFmt w:val="bullet"/>
      <w:lvlText w:val="o"/>
      <w:lvlJc w:val="left"/>
      <w:pPr>
        <w:ind w:left="3600" w:hanging="360"/>
      </w:pPr>
      <w:rPr>
        <w:rFonts w:ascii="Courier New" w:hAnsi="Courier New" w:hint="default"/>
      </w:rPr>
    </w:lvl>
    <w:lvl w:ilvl="5" w:tplc="770224C0">
      <w:start w:val="1"/>
      <w:numFmt w:val="bullet"/>
      <w:lvlText w:val=""/>
      <w:lvlJc w:val="left"/>
      <w:pPr>
        <w:ind w:left="4320" w:hanging="360"/>
      </w:pPr>
      <w:rPr>
        <w:rFonts w:ascii="Wingdings" w:hAnsi="Wingdings" w:hint="default"/>
      </w:rPr>
    </w:lvl>
    <w:lvl w:ilvl="6" w:tplc="63B2FD64">
      <w:start w:val="1"/>
      <w:numFmt w:val="bullet"/>
      <w:lvlText w:val=""/>
      <w:lvlJc w:val="left"/>
      <w:pPr>
        <w:ind w:left="5040" w:hanging="360"/>
      </w:pPr>
      <w:rPr>
        <w:rFonts w:ascii="Symbol" w:hAnsi="Symbol" w:hint="default"/>
      </w:rPr>
    </w:lvl>
    <w:lvl w:ilvl="7" w:tplc="6C56A260">
      <w:start w:val="1"/>
      <w:numFmt w:val="bullet"/>
      <w:lvlText w:val="o"/>
      <w:lvlJc w:val="left"/>
      <w:pPr>
        <w:ind w:left="5760" w:hanging="360"/>
      </w:pPr>
      <w:rPr>
        <w:rFonts w:ascii="Courier New" w:hAnsi="Courier New" w:hint="default"/>
      </w:rPr>
    </w:lvl>
    <w:lvl w:ilvl="8" w:tplc="B3FC6730">
      <w:start w:val="1"/>
      <w:numFmt w:val="bullet"/>
      <w:lvlText w:val=""/>
      <w:lvlJc w:val="left"/>
      <w:pPr>
        <w:ind w:left="6480" w:hanging="360"/>
      </w:pPr>
      <w:rPr>
        <w:rFonts w:ascii="Wingdings" w:hAnsi="Wingdings" w:hint="default"/>
      </w:rPr>
    </w:lvl>
  </w:abstractNum>
  <w:abstractNum w:abstractNumId="9" w15:restartNumberingAfterBreak="0">
    <w:nsid w:val="10EE0C1A"/>
    <w:multiLevelType w:val="hybridMultilevel"/>
    <w:tmpl w:val="0E30C3A4"/>
    <w:lvl w:ilvl="0" w:tplc="DEDE9C18">
      <w:start w:val="1"/>
      <w:numFmt w:val="bullet"/>
      <w:lvlText w:val="-"/>
      <w:lvlJc w:val="left"/>
      <w:pPr>
        <w:ind w:left="1080" w:hanging="360"/>
      </w:pPr>
      <w:rPr>
        <w:rFonts w:ascii="Calibri" w:hAnsi="Calibri" w:hint="default"/>
      </w:rPr>
    </w:lvl>
    <w:lvl w:ilvl="1" w:tplc="DDD0ED92">
      <w:start w:val="1"/>
      <w:numFmt w:val="bullet"/>
      <w:lvlText w:val="o"/>
      <w:lvlJc w:val="left"/>
      <w:pPr>
        <w:ind w:left="1800" w:hanging="360"/>
      </w:pPr>
      <w:rPr>
        <w:rFonts w:ascii="Courier New" w:hAnsi="Courier New" w:hint="default"/>
      </w:rPr>
    </w:lvl>
    <w:lvl w:ilvl="2" w:tplc="7E784870">
      <w:start w:val="1"/>
      <w:numFmt w:val="bullet"/>
      <w:lvlText w:val=""/>
      <w:lvlJc w:val="left"/>
      <w:pPr>
        <w:ind w:left="2520" w:hanging="360"/>
      </w:pPr>
      <w:rPr>
        <w:rFonts w:ascii="Wingdings" w:hAnsi="Wingdings" w:hint="default"/>
      </w:rPr>
    </w:lvl>
    <w:lvl w:ilvl="3" w:tplc="4AAC0FFE">
      <w:start w:val="1"/>
      <w:numFmt w:val="bullet"/>
      <w:lvlText w:val=""/>
      <w:lvlJc w:val="left"/>
      <w:pPr>
        <w:ind w:left="3240" w:hanging="360"/>
      </w:pPr>
      <w:rPr>
        <w:rFonts w:ascii="Symbol" w:hAnsi="Symbol" w:hint="default"/>
      </w:rPr>
    </w:lvl>
    <w:lvl w:ilvl="4" w:tplc="E9B2DAB8">
      <w:start w:val="1"/>
      <w:numFmt w:val="bullet"/>
      <w:lvlText w:val="o"/>
      <w:lvlJc w:val="left"/>
      <w:pPr>
        <w:ind w:left="3960" w:hanging="360"/>
      </w:pPr>
      <w:rPr>
        <w:rFonts w:ascii="Courier New" w:hAnsi="Courier New" w:hint="default"/>
      </w:rPr>
    </w:lvl>
    <w:lvl w:ilvl="5" w:tplc="8826B50A">
      <w:start w:val="1"/>
      <w:numFmt w:val="bullet"/>
      <w:lvlText w:val=""/>
      <w:lvlJc w:val="left"/>
      <w:pPr>
        <w:ind w:left="4680" w:hanging="360"/>
      </w:pPr>
      <w:rPr>
        <w:rFonts w:ascii="Wingdings" w:hAnsi="Wingdings" w:hint="default"/>
      </w:rPr>
    </w:lvl>
    <w:lvl w:ilvl="6" w:tplc="F90CD15E">
      <w:start w:val="1"/>
      <w:numFmt w:val="bullet"/>
      <w:lvlText w:val=""/>
      <w:lvlJc w:val="left"/>
      <w:pPr>
        <w:ind w:left="5400" w:hanging="360"/>
      </w:pPr>
      <w:rPr>
        <w:rFonts w:ascii="Symbol" w:hAnsi="Symbol" w:hint="default"/>
      </w:rPr>
    </w:lvl>
    <w:lvl w:ilvl="7" w:tplc="8EAAA0F6">
      <w:start w:val="1"/>
      <w:numFmt w:val="bullet"/>
      <w:lvlText w:val="o"/>
      <w:lvlJc w:val="left"/>
      <w:pPr>
        <w:ind w:left="6120" w:hanging="360"/>
      </w:pPr>
      <w:rPr>
        <w:rFonts w:ascii="Courier New" w:hAnsi="Courier New" w:hint="default"/>
      </w:rPr>
    </w:lvl>
    <w:lvl w:ilvl="8" w:tplc="80B082EC">
      <w:start w:val="1"/>
      <w:numFmt w:val="bullet"/>
      <w:lvlText w:val=""/>
      <w:lvlJc w:val="left"/>
      <w:pPr>
        <w:ind w:left="6840" w:hanging="360"/>
      </w:pPr>
      <w:rPr>
        <w:rFonts w:ascii="Wingdings" w:hAnsi="Wingdings" w:hint="default"/>
      </w:rPr>
    </w:lvl>
  </w:abstractNum>
  <w:abstractNum w:abstractNumId="10" w15:restartNumberingAfterBreak="0">
    <w:nsid w:val="129D562D"/>
    <w:multiLevelType w:val="hybridMultilevel"/>
    <w:tmpl w:val="D2CC9AC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15:restartNumberingAfterBreak="0">
    <w:nsid w:val="138517C6"/>
    <w:multiLevelType w:val="hybridMultilevel"/>
    <w:tmpl w:val="4E9AE954"/>
    <w:lvl w:ilvl="0" w:tplc="FFFFFFFF">
      <w:start w:val="1"/>
      <w:numFmt w:val="bullet"/>
      <w:lvlText w:val=""/>
      <w:lvlJc w:val="left"/>
      <w:pPr>
        <w:tabs>
          <w:tab w:val="num" w:pos="360"/>
        </w:tabs>
        <w:ind w:left="360" w:hanging="360"/>
      </w:pPr>
      <w:rPr>
        <w:rFonts w:ascii="Symbol" w:hAnsi="Symbol" w:hint="default"/>
        <w:strike w:val="0"/>
        <w:color w:val="0072BA"/>
      </w:rPr>
    </w:lvl>
    <w:lvl w:ilvl="1" w:tplc="0413000F">
      <w:start w:val="1"/>
      <w:numFmt w:val="decimal"/>
      <w:lvlText w:val="%2."/>
      <w:lvlJc w:val="left"/>
      <w:pPr>
        <w:tabs>
          <w:tab w:val="num" w:pos="1440"/>
        </w:tabs>
        <w:ind w:left="1440" w:hanging="360"/>
      </w:pPr>
      <w:rPr>
        <w:rFonts w:hint="default"/>
        <w:color w:val="0072BA"/>
      </w:rPr>
    </w:lvl>
    <w:lvl w:ilvl="2" w:tplc="04130005">
      <w:start w:val="1"/>
      <w:numFmt w:val="bullet"/>
      <w:lvlText w:val=""/>
      <w:lvlJc w:val="left"/>
      <w:pPr>
        <w:tabs>
          <w:tab w:val="num" w:pos="2160"/>
        </w:tabs>
        <w:ind w:left="2160" w:hanging="360"/>
      </w:pPr>
      <w:rPr>
        <w:rFonts w:ascii="Wingdings" w:hAnsi="Wingdings" w:hint="default"/>
      </w:rPr>
    </w:lvl>
    <w:lvl w:ilvl="3" w:tplc="0413000F">
      <w:start w:val="1"/>
      <w:numFmt w:val="decimal"/>
      <w:lvlText w:val="%4."/>
      <w:lvlJc w:val="left"/>
      <w:pPr>
        <w:tabs>
          <w:tab w:val="num" w:pos="2880"/>
        </w:tabs>
        <w:ind w:left="2880" w:hanging="360"/>
      </w:pPr>
      <w:rPr>
        <w:rFonts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CE47CF"/>
    <w:multiLevelType w:val="hybridMultilevel"/>
    <w:tmpl w:val="0EE238E2"/>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3" w15:restartNumberingAfterBreak="0">
    <w:nsid w:val="1738708E"/>
    <w:multiLevelType w:val="hybridMultilevel"/>
    <w:tmpl w:val="FFFFFFFF"/>
    <w:lvl w:ilvl="0" w:tplc="B5421982">
      <w:start w:val="1"/>
      <w:numFmt w:val="bullet"/>
      <w:lvlText w:val="-"/>
      <w:lvlJc w:val="left"/>
      <w:pPr>
        <w:ind w:left="720" w:hanging="360"/>
      </w:pPr>
      <w:rPr>
        <w:rFonts w:ascii="Calibri" w:hAnsi="Calibri" w:hint="default"/>
      </w:rPr>
    </w:lvl>
    <w:lvl w:ilvl="1" w:tplc="FDBA59D0">
      <w:start w:val="1"/>
      <w:numFmt w:val="bullet"/>
      <w:lvlText w:val="o"/>
      <w:lvlJc w:val="left"/>
      <w:pPr>
        <w:ind w:left="1440" w:hanging="360"/>
      </w:pPr>
      <w:rPr>
        <w:rFonts w:ascii="Courier New" w:hAnsi="Courier New" w:hint="default"/>
      </w:rPr>
    </w:lvl>
    <w:lvl w:ilvl="2" w:tplc="D5B64CB6">
      <w:start w:val="1"/>
      <w:numFmt w:val="bullet"/>
      <w:lvlText w:val=""/>
      <w:lvlJc w:val="left"/>
      <w:pPr>
        <w:ind w:left="2160" w:hanging="360"/>
      </w:pPr>
      <w:rPr>
        <w:rFonts w:ascii="Wingdings" w:hAnsi="Wingdings" w:hint="default"/>
      </w:rPr>
    </w:lvl>
    <w:lvl w:ilvl="3" w:tplc="3E862CA6">
      <w:start w:val="1"/>
      <w:numFmt w:val="bullet"/>
      <w:lvlText w:val=""/>
      <w:lvlJc w:val="left"/>
      <w:pPr>
        <w:ind w:left="2880" w:hanging="360"/>
      </w:pPr>
      <w:rPr>
        <w:rFonts w:ascii="Symbol" w:hAnsi="Symbol" w:hint="default"/>
      </w:rPr>
    </w:lvl>
    <w:lvl w:ilvl="4" w:tplc="5E729B94">
      <w:start w:val="1"/>
      <w:numFmt w:val="bullet"/>
      <w:lvlText w:val="o"/>
      <w:lvlJc w:val="left"/>
      <w:pPr>
        <w:ind w:left="3600" w:hanging="360"/>
      </w:pPr>
      <w:rPr>
        <w:rFonts w:ascii="Courier New" w:hAnsi="Courier New" w:hint="default"/>
      </w:rPr>
    </w:lvl>
    <w:lvl w:ilvl="5" w:tplc="16EA902A">
      <w:start w:val="1"/>
      <w:numFmt w:val="bullet"/>
      <w:lvlText w:val=""/>
      <w:lvlJc w:val="left"/>
      <w:pPr>
        <w:ind w:left="4320" w:hanging="360"/>
      </w:pPr>
      <w:rPr>
        <w:rFonts w:ascii="Wingdings" w:hAnsi="Wingdings" w:hint="default"/>
      </w:rPr>
    </w:lvl>
    <w:lvl w:ilvl="6" w:tplc="37449FD0">
      <w:start w:val="1"/>
      <w:numFmt w:val="bullet"/>
      <w:lvlText w:val=""/>
      <w:lvlJc w:val="left"/>
      <w:pPr>
        <w:ind w:left="5040" w:hanging="360"/>
      </w:pPr>
      <w:rPr>
        <w:rFonts w:ascii="Symbol" w:hAnsi="Symbol" w:hint="default"/>
      </w:rPr>
    </w:lvl>
    <w:lvl w:ilvl="7" w:tplc="9E40A88E">
      <w:start w:val="1"/>
      <w:numFmt w:val="bullet"/>
      <w:lvlText w:val="o"/>
      <w:lvlJc w:val="left"/>
      <w:pPr>
        <w:ind w:left="5760" w:hanging="360"/>
      </w:pPr>
      <w:rPr>
        <w:rFonts w:ascii="Courier New" w:hAnsi="Courier New" w:hint="default"/>
      </w:rPr>
    </w:lvl>
    <w:lvl w:ilvl="8" w:tplc="EA44E30C">
      <w:start w:val="1"/>
      <w:numFmt w:val="bullet"/>
      <w:lvlText w:val=""/>
      <w:lvlJc w:val="left"/>
      <w:pPr>
        <w:ind w:left="6480" w:hanging="360"/>
      </w:pPr>
      <w:rPr>
        <w:rFonts w:ascii="Wingdings" w:hAnsi="Wingdings" w:hint="default"/>
      </w:rPr>
    </w:lvl>
  </w:abstractNum>
  <w:abstractNum w:abstractNumId="14" w15:restartNumberingAfterBreak="0">
    <w:nsid w:val="18A65339"/>
    <w:multiLevelType w:val="hybridMultilevel"/>
    <w:tmpl w:val="FFFFFFFF"/>
    <w:lvl w:ilvl="0" w:tplc="AAA28D82">
      <w:start w:val="1"/>
      <w:numFmt w:val="bullet"/>
      <w:lvlText w:val=""/>
      <w:lvlJc w:val="left"/>
      <w:pPr>
        <w:ind w:left="720" w:hanging="360"/>
      </w:pPr>
      <w:rPr>
        <w:rFonts w:ascii="Symbol" w:hAnsi="Symbol" w:hint="default"/>
      </w:rPr>
    </w:lvl>
    <w:lvl w:ilvl="1" w:tplc="5FAA69BC">
      <w:start w:val="1"/>
      <w:numFmt w:val="bullet"/>
      <w:lvlText w:val="o"/>
      <w:lvlJc w:val="left"/>
      <w:pPr>
        <w:ind w:left="1440" w:hanging="360"/>
      </w:pPr>
      <w:rPr>
        <w:rFonts w:ascii="Courier New" w:hAnsi="Courier New" w:hint="default"/>
      </w:rPr>
    </w:lvl>
    <w:lvl w:ilvl="2" w:tplc="F328D596">
      <w:start w:val="1"/>
      <w:numFmt w:val="bullet"/>
      <w:lvlText w:val=""/>
      <w:lvlJc w:val="left"/>
      <w:pPr>
        <w:ind w:left="2160" w:hanging="360"/>
      </w:pPr>
      <w:rPr>
        <w:rFonts w:ascii="Wingdings" w:hAnsi="Wingdings" w:hint="default"/>
      </w:rPr>
    </w:lvl>
    <w:lvl w:ilvl="3" w:tplc="7FBE2A62">
      <w:start w:val="1"/>
      <w:numFmt w:val="bullet"/>
      <w:lvlText w:val=""/>
      <w:lvlJc w:val="left"/>
      <w:pPr>
        <w:ind w:left="2880" w:hanging="360"/>
      </w:pPr>
      <w:rPr>
        <w:rFonts w:ascii="Symbol" w:hAnsi="Symbol" w:hint="default"/>
      </w:rPr>
    </w:lvl>
    <w:lvl w:ilvl="4" w:tplc="66961538">
      <w:start w:val="1"/>
      <w:numFmt w:val="bullet"/>
      <w:lvlText w:val="o"/>
      <w:lvlJc w:val="left"/>
      <w:pPr>
        <w:ind w:left="3600" w:hanging="360"/>
      </w:pPr>
      <w:rPr>
        <w:rFonts w:ascii="Courier New" w:hAnsi="Courier New" w:hint="default"/>
      </w:rPr>
    </w:lvl>
    <w:lvl w:ilvl="5" w:tplc="4ED817DC">
      <w:start w:val="1"/>
      <w:numFmt w:val="bullet"/>
      <w:lvlText w:val=""/>
      <w:lvlJc w:val="left"/>
      <w:pPr>
        <w:ind w:left="4320" w:hanging="360"/>
      </w:pPr>
      <w:rPr>
        <w:rFonts w:ascii="Wingdings" w:hAnsi="Wingdings" w:hint="default"/>
      </w:rPr>
    </w:lvl>
    <w:lvl w:ilvl="6" w:tplc="C820245A">
      <w:start w:val="1"/>
      <w:numFmt w:val="bullet"/>
      <w:lvlText w:val=""/>
      <w:lvlJc w:val="left"/>
      <w:pPr>
        <w:ind w:left="5040" w:hanging="360"/>
      </w:pPr>
      <w:rPr>
        <w:rFonts w:ascii="Symbol" w:hAnsi="Symbol" w:hint="default"/>
      </w:rPr>
    </w:lvl>
    <w:lvl w:ilvl="7" w:tplc="F5FC4D68">
      <w:start w:val="1"/>
      <w:numFmt w:val="bullet"/>
      <w:lvlText w:val="o"/>
      <w:lvlJc w:val="left"/>
      <w:pPr>
        <w:ind w:left="5760" w:hanging="360"/>
      </w:pPr>
      <w:rPr>
        <w:rFonts w:ascii="Courier New" w:hAnsi="Courier New" w:hint="default"/>
      </w:rPr>
    </w:lvl>
    <w:lvl w:ilvl="8" w:tplc="1A604254">
      <w:start w:val="1"/>
      <w:numFmt w:val="bullet"/>
      <w:lvlText w:val=""/>
      <w:lvlJc w:val="left"/>
      <w:pPr>
        <w:ind w:left="6480" w:hanging="360"/>
      </w:pPr>
      <w:rPr>
        <w:rFonts w:ascii="Wingdings" w:hAnsi="Wingdings" w:hint="default"/>
      </w:rPr>
    </w:lvl>
  </w:abstractNum>
  <w:abstractNum w:abstractNumId="15" w15:restartNumberingAfterBreak="0">
    <w:nsid w:val="1DA9AE51"/>
    <w:multiLevelType w:val="hybridMultilevel"/>
    <w:tmpl w:val="FFFFFFFF"/>
    <w:lvl w:ilvl="0" w:tplc="7FDA33D2">
      <w:start w:val="1"/>
      <w:numFmt w:val="bullet"/>
      <w:lvlText w:val=""/>
      <w:lvlJc w:val="left"/>
      <w:pPr>
        <w:ind w:left="720" w:hanging="360"/>
      </w:pPr>
      <w:rPr>
        <w:rFonts w:ascii="Symbol" w:hAnsi="Symbol" w:hint="default"/>
      </w:rPr>
    </w:lvl>
    <w:lvl w:ilvl="1" w:tplc="66064A10">
      <w:start w:val="1"/>
      <w:numFmt w:val="bullet"/>
      <w:lvlText w:val="-"/>
      <w:lvlJc w:val="left"/>
      <w:pPr>
        <w:ind w:left="1440" w:hanging="360"/>
      </w:pPr>
      <w:rPr>
        <w:rFonts w:ascii="Calibri" w:hAnsi="Calibri" w:hint="default"/>
      </w:rPr>
    </w:lvl>
    <w:lvl w:ilvl="2" w:tplc="BD5ADF1C">
      <w:start w:val="1"/>
      <w:numFmt w:val="bullet"/>
      <w:lvlText w:val=""/>
      <w:lvlJc w:val="left"/>
      <w:pPr>
        <w:ind w:left="2160" w:hanging="360"/>
      </w:pPr>
      <w:rPr>
        <w:rFonts w:ascii="Wingdings" w:hAnsi="Wingdings" w:hint="default"/>
      </w:rPr>
    </w:lvl>
    <w:lvl w:ilvl="3" w:tplc="E43EA05C">
      <w:start w:val="1"/>
      <w:numFmt w:val="bullet"/>
      <w:lvlText w:val=""/>
      <w:lvlJc w:val="left"/>
      <w:pPr>
        <w:ind w:left="2880" w:hanging="360"/>
      </w:pPr>
      <w:rPr>
        <w:rFonts w:ascii="Symbol" w:hAnsi="Symbol" w:hint="default"/>
      </w:rPr>
    </w:lvl>
    <w:lvl w:ilvl="4" w:tplc="86EEC734">
      <w:start w:val="1"/>
      <w:numFmt w:val="bullet"/>
      <w:lvlText w:val="o"/>
      <w:lvlJc w:val="left"/>
      <w:pPr>
        <w:ind w:left="3600" w:hanging="360"/>
      </w:pPr>
      <w:rPr>
        <w:rFonts w:ascii="Courier New" w:hAnsi="Courier New" w:hint="default"/>
      </w:rPr>
    </w:lvl>
    <w:lvl w:ilvl="5" w:tplc="8A7C42C2">
      <w:start w:val="1"/>
      <w:numFmt w:val="bullet"/>
      <w:lvlText w:val=""/>
      <w:lvlJc w:val="left"/>
      <w:pPr>
        <w:ind w:left="4320" w:hanging="360"/>
      </w:pPr>
      <w:rPr>
        <w:rFonts w:ascii="Wingdings" w:hAnsi="Wingdings" w:hint="default"/>
      </w:rPr>
    </w:lvl>
    <w:lvl w:ilvl="6" w:tplc="8B7EC80A">
      <w:start w:val="1"/>
      <w:numFmt w:val="bullet"/>
      <w:lvlText w:val=""/>
      <w:lvlJc w:val="left"/>
      <w:pPr>
        <w:ind w:left="5040" w:hanging="360"/>
      </w:pPr>
      <w:rPr>
        <w:rFonts w:ascii="Symbol" w:hAnsi="Symbol" w:hint="default"/>
      </w:rPr>
    </w:lvl>
    <w:lvl w:ilvl="7" w:tplc="ADB6A1F2">
      <w:start w:val="1"/>
      <w:numFmt w:val="bullet"/>
      <w:lvlText w:val="o"/>
      <w:lvlJc w:val="left"/>
      <w:pPr>
        <w:ind w:left="5760" w:hanging="360"/>
      </w:pPr>
      <w:rPr>
        <w:rFonts w:ascii="Courier New" w:hAnsi="Courier New" w:hint="default"/>
      </w:rPr>
    </w:lvl>
    <w:lvl w:ilvl="8" w:tplc="39F84D54">
      <w:start w:val="1"/>
      <w:numFmt w:val="bullet"/>
      <w:lvlText w:val=""/>
      <w:lvlJc w:val="left"/>
      <w:pPr>
        <w:ind w:left="6480" w:hanging="360"/>
      </w:pPr>
      <w:rPr>
        <w:rFonts w:ascii="Wingdings" w:hAnsi="Wingdings" w:hint="default"/>
      </w:rPr>
    </w:lvl>
  </w:abstractNum>
  <w:abstractNum w:abstractNumId="16" w15:restartNumberingAfterBreak="0">
    <w:nsid w:val="239A1902"/>
    <w:multiLevelType w:val="hybridMultilevel"/>
    <w:tmpl w:val="A21C8760"/>
    <w:lvl w:ilvl="0" w:tplc="0B8EBE36">
      <w:start w:val="1"/>
      <w:numFmt w:val="bullet"/>
      <w:lvlText w:val=""/>
      <w:lvlJc w:val="left"/>
      <w:pPr>
        <w:ind w:left="720" w:hanging="360"/>
      </w:pPr>
      <w:rPr>
        <w:rFonts w:ascii="Symbol" w:hAnsi="Symbol" w:hint="default"/>
      </w:rPr>
    </w:lvl>
    <w:lvl w:ilvl="1" w:tplc="C82A6850">
      <w:start w:val="1"/>
      <w:numFmt w:val="bullet"/>
      <w:lvlText w:val="o"/>
      <w:lvlJc w:val="left"/>
      <w:pPr>
        <w:ind w:left="1440" w:hanging="360"/>
      </w:pPr>
      <w:rPr>
        <w:rFonts w:ascii="Courier New" w:hAnsi="Courier New" w:hint="default"/>
      </w:rPr>
    </w:lvl>
    <w:lvl w:ilvl="2" w:tplc="2A127662">
      <w:start w:val="1"/>
      <w:numFmt w:val="bullet"/>
      <w:lvlText w:val=""/>
      <w:lvlJc w:val="left"/>
      <w:pPr>
        <w:ind w:left="2160" w:hanging="360"/>
      </w:pPr>
      <w:rPr>
        <w:rFonts w:ascii="Wingdings" w:hAnsi="Wingdings" w:hint="default"/>
      </w:rPr>
    </w:lvl>
    <w:lvl w:ilvl="3" w:tplc="1C8C7704">
      <w:start w:val="1"/>
      <w:numFmt w:val="bullet"/>
      <w:lvlText w:val=""/>
      <w:lvlJc w:val="left"/>
      <w:pPr>
        <w:ind w:left="2880" w:hanging="360"/>
      </w:pPr>
      <w:rPr>
        <w:rFonts w:ascii="Symbol" w:hAnsi="Symbol" w:hint="default"/>
      </w:rPr>
    </w:lvl>
    <w:lvl w:ilvl="4" w:tplc="4E4AE79E">
      <w:start w:val="1"/>
      <w:numFmt w:val="bullet"/>
      <w:lvlText w:val="o"/>
      <w:lvlJc w:val="left"/>
      <w:pPr>
        <w:ind w:left="3600" w:hanging="360"/>
      </w:pPr>
      <w:rPr>
        <w:rFonts w:ascii="Courier New" w:hAnsi="Courier New" w:hint="default"/>
      </w:rPr>
    </w:lvl>
    <w:lvl w:ilvl="5" w:tplc="3358FE5C">
      <w:start w:val="1"/>
      <w:numFmt w:val="bullet"/>
      <w:lvlText w:val=""/>
      <w:lvlJc w:val="left"/>
      <w:pPr>
        <w:ind w:left="4320" w:hanging="360"/>
      </w:pPr>
      <w:rPr>
        <w:rFonts w:ascii="Wingdings" w:hAnsi="Wingdings" w:hint="default"/>
      </w:rPr>
    </w:lvl>
    <w:lvl w:ilvl="6" w:tplc="B4DCDD40">
      <w:start w:val="1"/>
      <w:numFmt w:val="bullet"/>
      <w:lvlText w:val=""/>
      <w:lvlJc w:val="left"/>
      <w:pPr>
        <w:ind w:left="5040" w:hanging="360"/>
      </w:pPr>
      <w:rPr>
        <w:rFonts w:ascii="Symbol" w:hAnsi="Symbol" w:hint="default"/>
      </w:rPr>
    </w:lvl>
    <w:lvl w:ilvl="7" w:tplc="5A6408BE">
      <w:start w:val="1"/>
      <w:numFmt w:val="bullet"/>
      <w:lvlText w:val="o"/>
      <w:lvlJc w:val="left"/>
      <w:pPr>
        <w:ind w:left="5760" w:hanging="360"/>
      </w:pPr>
      <w:rPr>
        <w:rFonts w:ascii="Courier New" w:hAnsi="Courier New" w:hint="default"/>
      </w:rPr>
    </w:lvl>
    <w:lvl w:ilvl="8" w:tplc="CEFE8A10">
      <w:start w:val="1"/>
      <w:numFmt w:val="bullet"/>
      <w:lvlText w:val=""/>
      <w:lvlJc w:val="left"/>
      <w:pPr>
        <w:ind w:left="6480" w:hanging="360"/>
      </w:pPr>
      <w:rPr>
        <w:rFonts w:ascii="Wingdings" w:hAnsi="Wingdings" w:hint="default"/>
      </w:rPr>
    </w:lvl>
  </w:abstractNum>
  <w:abstractNum w:abstractNumId="17" w15:restartNumberingAfterBreak="0">
    <w:nsid w:val="2DE15405"/>
    <w:multiLevelType w:val="hybridMultilevel"/>
    <w:tmpl w:val="2B7809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DF5CBBF"/>
    <w:multiLevelType w:val="hybridMultilevel"/>
    <w:tmpl w:val="FFFFFFFF"/>
    <w:lvl w:ilvl="0" w:tplc="48E62000">
      <w:start w:val="1"/>
      <w:numFmt w:val="bullet"/>
      <w:lvlText w:val="-"/>
      <w:lvlJc w:val="left"/>
      <w:pPr>
        <w:ind w:left="720" w:hanging="360"/>
      </w:pPr>
      <w:rPr>
        <w:rFonts w:ascii="Calibri" w:hAnsi="Calibri" w:hint="default"/>
      </w:rPr>
    </w:lvl>
    <w:lvl w:ilvl="1" w:tplc="EE5CF1D8">
      <w:start w:val="1"/>
      <w:numFmt w:val="bullet"/>
      <w:lvlText w:val="o"/>
      <w:lvlJc w:val="left"/>
      <w:pPr>
        <w:ind w:left="1440" w:hanging="360"/>
      </w:pPr>
      <w:rPr>
        <w:rFonts w:ascii="Courier New" w:hAnsi="Courier New" w:hint="default"/>
      </w:rPr>
    </w:lvl>
    <w:lvl w:ilvl="2" w:tplc="AF8AECA8">
      <w:start w:val="1"/>
      <w:numFmt w:val="bullet"/>
      <w:lvlText w:val=""/>
      <w:lvlJc w:val="left"/>
      <w:pPr>
        <w:ind w:left="2160" w:hanging="360"/>
      </w:pPr>
      <w:rPr>
        <w:rFonts w:ascii="Wingdings" w:hAnsi="Wingdings" w:hint="default"/>
      </w:rPr>
    </w:lvl>
    <w:lvl w:ilvl="3" w:tplc="7A0489CA">
      <w:start w:val="1"/>
      <w:numFmt w:val="bullet"/>
      <w:lvlText w:val=""/>
      <w:lvlJc w:val="left"/>
      <w:pPr>
        <w:ind w:left="2880" w:hanging="360"/>
      </w:pPr>
      <w:rPr>
        <w:rFonts w:ascii="Symbol" w:hAnsi="Symbol" w:hint="default"/>
      </w:rPr>
    </w:lvl>
    <w:lvl w:ilvl="4" w:tplc="84C4CA4C">
      <w:start w:val="1"/>
      <w:numFmt w:val="bullet"/>
      <w:lvlText w:val="o"/>
      <w:lvlJc w:val="left"/>
      <w:pPr>
        <w:ind w:left="3600" w:hanging="360"/>
      </w:pPr>
      <w:rPr>
        <w:rFonts w:ascii="Courier New" w:hAnsi="Courier New" w:hint="default"/>
      </w:rPr>
    </w:lvl>
    <w:lvl w:ilvl="5" w:tplc="74AA273E">
      <w:start w:val="1"/>
      <w:numFmt w:val="bullet"/>
      <w:lvlText w:val=""/>
      <w:lvlJc w:val="left"/>
      <w:pPr>
        <w:ind w:left="4320" w:hanging="360"/>
      </w:pPr>
      <w:rPr>
        <w:rFonts w:ascii="Wingdings" w:hAnsi="Wingdings" w:hint="default"/>
      </w:rPr>
    </w:lvl>
    <w:lvl w:ilvl="6" w:tplc="BF00EFB4">
      <w:start w:val="1"/>
      <w:numFmt w:val="bullet"/>
      <w:lvlText w:val=""/>
      <w:lvlJc w:val="left"/>
      <w:pPr>
        <w:ind w:left="5040" w:hanging="360"/>
      </w:pPr>
      <w:rPr>
        <w:rFonts w:ascii="Symbol" w:hAnsi="Symbol" w:hint="default"/>
      </w:rPr>
    </w:lvl>
    <w:lvl w:ilvl="7" w:tplc="67DA933A">
      <w:start w:val="1"/>
      <w:numFmt w:val="bullet"/>
      <w:lvlText w:val="o"/>
      <w:lvlJc w:val="left"/>
      <w:pPr>
        <w:ind w:left="5760" w:hanging="360"/>
      </w:pPr>
      <w:rPr>
        <w:rFonts w:ascii="Courier New" w:hAnsi="Courier New" w:hint="default"/>
      </w:rPr>
    </w:lvl>
    <w:lvl w:ilvl="8" w:tplc="8DC4111C">
      <w:start w:val="1"/>
      <w:numFmt w:val="bullet"/>
      <w:lvlText w:val=""/>
      <w:lvlJc w:val="left"/>
      <w:pPr>
        <w:ind w:left="6480" w:hanging="360"/>
      </w:pPr>
      <w:rPr>
        <w:rFonts w:ascii="Wingdings" w:hAnsi="Wingdings" w:hint="default"/>
      </w:rPr>
    </w:lvl>
  </w:abstractNum>
  <w:abstractNum w:abstractNumId="19" w15:restartNumberingAfterBreak="0">
    <w:nsid w:val="2F93507E"/>
    <w:multiLevelType w:val="hybridMultilevel"/>
    <w:tmpl w:val="FFFFFFFF"/>
    <w:lvl w:ilvl="0" w:tplc="41BACBA8">
      <w:start w:val="1"/>
      <w:numFmt w:val="bullet"/>
      <w:lvlText w:val="-"/>
      <w:lvlJc w:val="left"/>
      <w:pPr>
        <w:ind w:left="720" w:hanging="360"/>
      </w:pPr>
      <w:rPr>
        <w:rFonts w:ascii="Calibri" w:hAnsi="Calibri" w:hint="default"/>
      </w:rPr>
    </w:lvl>
    <w:lvl w:ilvl="1" w:tplc="94C86022">
      <w:start w:val="1"/>
      <w:numFmt w:val="bullet"/>
      <w:lvlText w:val="o"/>
      <w:lvlJc w:val="left"/>
      <w:pPr>
        <w:ind w:left="1440" w:hanging="360"/>
      </w:pPr>
      <w:rPr>
        <w:rFonts w:ascii="Courier New" w:hAnsi="Courier New" w:hint="default"/>
      </w:rPr>
    </w:lvl>
    <w:lvl w:ilvl="2" w:tplc="4EC2DDFE">
      <w:start w:val="1"/>
      <w:numFmt w:val="bullet"/>
      <w:lvlText w:val=""/>
      <w:lvlJc w:val="left"/>
      <w:pPr>
        <w:ind w:left="2160" w:hanging="360"/>
      </w:pPr>
      <w:rPr>
        <w:rFonts w:ascii="Wingdings" w:hAnsi="Wingdings" w:hint="default"/>
      </w:rPr>
    </w:lvl>
    <w:lvl w:ilvl="3" w:tplc="EB188F4A">
      <w:start w:val="1"/>
      <w:numFmt w:val="bullet"/>
      <w:lvlText w:val=""/>
      <w:lvlJc w:val="left"/>
      <w:pPr>
        <w:ind w:left="2880" w:hanging="360"/>
      </w:pPr>
      <w:rPr>
        <w:rFonts w:ascii="Symbol" w:hAnsi="Symbol" w:hint="default"/>
      </w:rPr>
    </w:lvl>
    <w:lvl w:ilvl="4" w:tplc="8B966110">
      <w:start w:val="1"/>
      <w:numFmt w:val="bullet"/>
      <w:lvlText w:val="o"/>
      <w:lvlJc w:val="left"/>
      <w:pPr>
        <w:ind w:left="3600" w:hanging="360"/>
      </w:pPr>
      <w:rPr>
        <w:rFonts w:ascii="Courier New" w:hAnsi="Courier New" w:hint="default"/>
      </w:rPr>
    </w:lvl>
    <w:lvl w:ilvl="5" w:tplc="15C6B250">
      <w:start w:val="1"/>
      <w:numFmt w:val="bullet"/>
      <w:lvlText w:val=""/>
      <w:lvlJc w:val="left"/>
      <w:pPr>
        <w:ind w:left="4320" w:hanging="360"/>
      </w:pPr>
      <w:rPr>
        <w:rFonts w:ascii="Wingdings" w:hAnsi="Wingdings" w:hint="default"/>
      </w:rPr>
    </w:lvl>
    <w:lvl w:ilvl="6" w:tplc="53BEF0B8">
      <w:start w:val="1"/>
      <w:numFmt w:val="bullet"/>
      <w:lvlText w:val=""/>
      <w:lvlJc w:val="left"/>
      <w:pPr>
        <w:ind w:left="5040" w:hanging="360"/>
      </w:pPr>
      <w:rPr>
        <w:rFonts w:ascii="Symbol" w:hAnsi="Symbol" w:hint="default"/>
      </w:rPr>
    </w:lvl>
    <w:lvl w:ilvl="7" w:tplc="4DEAA2F0">
      <w:start w:val="1"/>
      <w:numFmt w:val="bullet"/>
      <w:lvlText w:val="o"/>
      <w:lvlJc w:val="left"/>
      <w:pPr>
        <w:ind w:left="5760" w:hanging="360"/>
      </w:pPr>
      <w:rPr>
        <w:rFonts w:ascii="Courier New" w:hAnsi="Courier New" w:hint="default"/>
      </w:rPr>
    </w:lvl>
    <w:lvl w:ilvl="8" w:tplc="77AA23F2">
      <w:start w:val="1"/>
      <w:numFmt w:val="bullet"/>
      <w:lvlText w:val=""/>
      <w:lvlJc w:val="left"/>
      <w:pPr>
        <w:ind w:left="6480" w:hanging="360"/>
      </w:pPr>
      <w:rPr>
        <w:rFonts w:ascii="Wingdings" w:hAnsi="Wingdings" w:hint="default"/>
      </w:rPr>
    </w:lvl>
  </w:abstractNum>
  <w:abstractNum w:abstractNumId="20" w15:restartNumberingAfterBreak="0">
    <w:nsid w:val="32CB43A9"/>
    <w:multiLevelType w:val="hybridMultilevel"/>
    <w:tmpl w:val="FD44BF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2FC4028"/>
    <w:multiLevelType w:val="hybridMultilevel"/>
    <w:tmpl w:val="FFFFFFFF"/>
    <w:lvl w:ilvl="0" w:tplc="D4066398">
      <w:start w:val="1"/>
      <w:numFmt w:val="bullet"/>
      <w:lvlText w:val="-"/>
      <w:lvlJc w:val="left"/>
      <w:pPr>
        <w:ind w:left="720" w:hanging="360"/>
      </w:pPr>
      <w:rPr>
        <w:rFonts w:ascii="Calibri" w:hAnsi="Calibri" w:hint="default"/>
      </w:rPr>
    </w:lvl>
    <w:lvl w:ilvl="1" w:tplc="2FC882EE">
      <w:start w:val="1"/>
      <w:numFmt w:val="bullet"/>
      <w:lvlText w:val="o"/>
      <w:lvlJc w:val="left"/>
      <w:pPr>
        <w:ind w:left="1440" w:hanging="360"/>
      </w:pPr>
      <w:rPr>
        <w:rFonts w:ascii="Courier New" w:hAnsi="Courier New" w:hint="default"/>
      </w:rPr>
    </w:lvl>
    <w:lvl w:ilvl="2" w:tplc="6514412A">
      <w:start w:val="1"/>
      <w:numFmt w:val="bullet"/>
      <w:lvlText w:val=""/>
      <w:lvlJc w:val="left"/>
      <w:pPr>
        <w:ind w:left="2160" w:hanging="360"/>
      </w:pPr>
      <w:rPr>
        <w:rFonts w:ascii="Wingdings" w:hAnsi="Wingdings" w:hint="default"/>
      </w:rPr>
    </w:lvl>
    <w:lvl w:ilvl="3" w:tplc="76BA5BCE">
      <w:start w:val="1"/>
      <w:numFmt w:val="bullet"/>
      <w:lvlText w:val=""/>
      <w:lvlJc w:val="left"/>
      <w:pPr>
        <w:ind w:left="2880" w:hanging="360"/>
      </w:pPr>
      <w:rPr>
        <w:rFonts w:ascii="Symbol" w:hAnsi="Symbol" w:hint="default"/>
      </w:rPr>
    </w:lvl>
    <w:lvl w:ilvl="4" w:tplc="4390768E">
      <w:start w:val="1"/>
      <w:numFmt w:val="bullet"/>
      <w:lvlText w:val="o"/>
      <w:lvlJc w:val="left"/>
      <w:pPr>
        <w:ind w:left="3600" w:hanging="360"/>
      </w:pPr>
      <w:rPr>
        <w:rFonts w:ascii="Courier New" w:hAnsi="Courier New" w:hint="default"/>
      </w:rPr>
    </w:lvl>
    <w:lvl w:ilvl="5" w:tplc="818C3D14">
      <w:start w:val="1"/>
      <w:numFmt w:val="bullet"/>
      <w:lvlText w:val=""/>
      <w:lvlJc w:val="left"/>
      <w:pPr>
        <w:ind w:left="4320" w:hanging="360"/>
      </w:pPr>
      <w:rPr>
        <w:rFonts w:ascii="Wingdings" w:hAnsi="Wingdings" w:hint="default"/>
      </w:rPr>
    </w:lvl>
    <w:lvl w:ilvl="6" w:tplc="98406B9C">
      <w:start w:val="1"/>
      <w:numFmt w:val="bullet"/>
      <w:lvlText w:val=""/>
      <w:lvlJc w:val="left"/>
      <w:pPr>
        <w:ind w:left="5040" w:hanging="360"/>
      </w:pPr>
      <w:rPr>
        <w:rFonts w:ascii="Symbol" w:hAnsi="Symbol" w:hint="default"/>
      </w:rPr>
    </w:lvl>
    <w:lvl w:ilvl="7" w:tplc="9F0E7C2A">
      <w:start w:val="1"/>
      <w:numFmt w:val="bullet"/>
      <w:lvlText w:val="o"/>
      <w:lvlJc w:val="left"/>
      <w:pPr>
        <w:ind w:left="5760" w:hanging="360"/>
      </w:pPr>
      <w:rPr>
        <w:rFonts w:ascii="Courier New" w:hAnsi="Courier New" w:hint="default"/>
      </w:rPr>
    </w:lvl>
    <w:lvl w:ilvl="8" w:tplc="D5D25114">
      <w:start w:val="1"/>
      <w:numFmt w:val="bullet"/>
      <w:lvlText w:val=""/>
      <w:lvlJc w:val="left"/>
      <w:pPr>
        <w:ind w:left="6480" w:hanging="360"/>
      </w:pPr>
      <w:rPr>
        <w:rFonts w:ascii="Wingdings" w:hAnsi="Wingdings" w:hint="default"/>
      </w:rPr>
    </w:lvl>
  </w:abstractNum>
  <w:abstractNum w:abstractNumId="22" w15:restartNumberingAfterBreak="0">
    <w:nsid w:val="33626ABE"/>
    <w:multiLevelType w:val="hybridMultilevel"/>
    <w:tmpl w:val="77C64F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3D977E0"/>
    <w:multiLevelType w:val="hybridMultilevel"/>
    <w:tmpl w:val="FFFFFFFF"/>
    <w:lvl w:ilvl="0" w:tplc="97AC1386">
      <w:start w:val="1"/>
      <w:numFmt w:val="bullet"/>
      <w:lvlText w:val="-"/>
      <w:lvlJc w:val="left"/>
      <w:pPr>
        <w:ind w:left="720" w:hanging="360"/>
      </w:pPr>
      <w:rPr>
        <w:rFonts w:ascii="Calibri" w:hAnsi="Calibri" w:hint="default"/>
      </w:rPr>
    </w:lvl>
    <w:lvl w:ilvl="1" w:tplc="7C204F44">
      <w:start w:val="1"/>
      <w:numFmt w:val="bullet"/>
      <w:lvlText w:val="o"/>
      <w:lvlJc w:val="left"/>
      <w:pPr>
        <w:ind w:left="1440" w:hanging="360"/>
      </w:pPr>
      <w:rPr>
        <w:rFonts w:ascii="Courier New" w:hAnsi="Courier New" w:hint="default"/>
      </w:rPr>
    </w:lvl>
    <w:lvl w:ilvl="2" w:tplc="6212D7FA">
      <w:start w:val="1"/>
      <w:numFmt w:val="bullet"/>
      <w:lvlText w:val=""/>
      <w:lvlJc w:val="left"/>
      <w:pPr>
        <w:ind w:left="2160" w:hanging="360"/>
      </w:pPr>
      <w:rPr>
        <w:rFonts w:ascii="Wingdings" w:hAnsi="Wingdings" w:hint="default"/>
      </w:rPr>
    </w:lvl>
    <w:lvl w:ilvl="3" w:tplc="305EE006">
      <w:start w:val="1"/>
      <w:numFmt w:val="bullet"/>
      <w:lvlText w:val=""/>
      <w:lvlJc w:val="left"/>
      <w:pPr>
        <w:ind w:left="2880" w:hanging="360"/>
      </w:pPr>
      <w:rPr>
        <w:rFonts w:ascii="Symbol" w:hAnsi="Symbol" w:hint="default"/>
      </w:rPr>
    </w:lvl>
    <w:lvl w:ilvl="4" w:tplc="0A56C1D6">
      <w:start w:val="1"/>
      <w:numFmt w:val="bullet"/>
      <w:lvlText w:val="o"/>
      <w:lvlJc w:val="left"/>
      <w:pPr>
        <w:ind w:left="3600" w:hanging="360"/>
      </w:pPr>
      <w:rPr>
        <w:rFonts w:ascii="Courier New" w:hAnsi="Courier New" w:hint="default"/>
      </w:rPr>
    </w:lvl>
    <w:lvl w:ilvl="5" w:tplc="CA107392">
      <w:start w:val="1"/>
      <w:numFmt w:val="bullet"/>
      <w:lvlText w:val=""/>
      <w:lvlJc w:val="left"/>
      <w:pPr>
        <w:ind w:left="4320" w:hanging="360"/>
      </w:pPr>
      <w:rPr>
        <w:rFonts w:ascii="Wingdings" w:hAnsi="Wingdings" w:hint="default"/>
      </w:rPr>
    </w:lvl>
    <w:lvl w:ilvl="6" w:tplc="32344FFE">
      <w:start w:val="1"/>
      <w:numFmt w:val="bullet"/>
      <w:lvlText w:val=""/>
      <w:lvlJc w:val="left"/>
      <w:pPr>
        <w:ind w:left="5040" w:hanging="360"/>
      </w:pPr>
      <w:rPr>
        <w:rFonts w:ascii="Symbol" w:hAnsi="Symbol" w:hint="default"/>
      </w:rPr>
    </w:lvl>
    <w:lvl w:ilvl="7" w:tplc="41F0FD6E">
      <w:start w:val="1"/>
      <w:numFmt w:val="bullet"/>
      <w:lvlText w:val="o"/>
      <w:lvlJc w:val="left"/>
      <w:pPr>
        <w:ind w:left="5760" w:hanging="360"/>
      </w:pPr>
      <w:rPr>
        <w:rFonts w:ascii="Courier New" w:hAnsi="Courier New" w:hint="default"/>
      </w:rPr>
    </w:lvl>
    <w:lvl w:ilvl="8" w:tplc="EB1056CE">
      <w:start w:val="1"/>
      <w:numFmt w:val="bullet"/>
      <w:lvlText w:val=""/>
      <w:lvlJc w:val="left"/>
      <w:pPr>
        <w:ind w:left="6480" w:hanging="360"/>
      </w:pPr>
      <w:rPr>
        <w:rFonts w:ascii="Wingdings" w:hAnsi="Wingdings" w:hint="default"/>
      </w:rPr>
    </w:lvl>
  </w:abstractNum>
  <w:abstractNum w:abstractNumId="24" w15:restartNumberingAfterBreak="0">
    <w:nsid w:val="3A3538FB"/>
    <w:multiLevelType w:val="multilevel"/>
    <w:tmpl w:val="5ACEF53A"/>
    <w:lvl w:ilvl="0">
      <w:start w:val="1"/>
      <w:numFmt w:val="bullet"/>
      <w:lvlText w:val="-"/>
      <w:lvlJc w:val="left"/>
      <w:pPr>
        <w:ind w:left="1494" w:hanging="360"/>
      </w:pPr>
      <w:rPr>
        <w:rFonts w:ascii="Calibri" w:hAnsi="Calibri" w:hint="default"/>
      </w:rPr>
    </w:lvl>
    <w:lvl w:ilvl="1">
      <w:start w:val="1"/>
      <w:numFmt w:val="bullet"/>
      <w:lvlText w:val=""/>
      <w:lvlJc w:val="left"/>
      <w:pPr>
        <w:ind w:left="1854" w:hanging="360"/>
      </w:pPr>
      <w:rPr>
        <w:rFonts w:ascii="Wingdings" w:hAnsi="Wingdings" w:hint="default"/>
      </w:rPr>
    </w:lvl>
    <w:lvl w:ilvl="2">
      <w:start w:val="1"/>
      <w:numFmt w:val="bullet"/>
      <w:lvlText w:val=""/>
      <w:lvlJc w:val="left"/>
      <w:pPr>
        <w:ind w:left="2214" w:hanging="360"/>
      </w:pPr>
      <w:rPr>
        <w:rFonts w:ascii="Wingdings" w:hAnsi="Wingdings" w:hint="default"/>
      </w:rPr>
    </w:lvl>
    <w:lvl w:ilvl="3">
      <w:start w:val="1"/>
      <w:numFmt w:val="bullet"/>
      <w:lvlText w:val=""/>
      <w:lvlJc w:val="left"/>
      <w:pPr>
        <w:ind w:left="2574" w:hanging="360"/>
      </w:pPr>
      <w:rPr>
        <w:rFonts w:ascii="Symbol" w:hAnsi="Symbol" w:hint="default"/>
      </w:rPr>
    </w:lvl>
    <w:lvl w:ilvl="4">
      <w:start w:val="1"/>
      <w:numFmt w:val="bullet"/>
      <w:lvlText w:val=""/>
      <w:lvlJc w:val="left"/>
      <w:pPr>
        <w:ind w:left="2934" w:hanging="360"/>
      </w:pPr>
      <w:rPr>
        <w:rFonts w:ascii="Symbol" w:hAnsi="Symbol" w:hint="default"/>
      </w:rPr>
    </w:lvl>
    <w:lvl w:ilvl="5">
      <w:start w:val="1"/>
      <w:numFmt w:val="bullet"/>
      <w:lvlText w:val=""/>
      <w:lvlJc w:val="left"/>
      <w:pPr>
        <w:ind w:left="3294" w:hanging="360"/>
      </w:pPr>
      <w:rPr>
        <w:rFonts w:ascii="Wingdings" w:hAnsi="Wingdings" w:hint="default"/>
      </w:rPr>
    </w:lvl>
    <w:lvl w:ilvl="6">
      <w:start w:val="1"/>
      <w:numFmt w:val="bullet"/>
      <w:lvlText w:val=""/>
      <w:lvlJc w:val="left"/>
      <w:pPr>
        <w:ind w:left="3654" w:hanging="360"/>
      </w:pPr>
      <w:rPr>
        <w:rFonts w:ascii="Wingdings" w:hAnsi="Wingdings" w:hint="default"/>
      </w:rPr>
    </w:lvl>
    <w:lvl w:ilvl="7">
      <w:start w:val="1"/>
      <w:numFmt w:val="bullet"/>
      <w:lvlText w:val=""/>
      <w:lvlJc w:val="left"/>
      <w:pPr>
        <w:ind w:left="4014" w:hanging="360"/>
      </w:pPr>
      <w:rPr>
        <w:rFonts w:ascii="Symbol" w:hAnsi="Symbol" w:hint="default"/>
      </w:rPr>
    </w:lvl>
    <w:lvl w:ilvl="8">
      <w:start w:val="1"/>
      <w:numFmt w:val="bullet"/>
      <w:lvlText w:val=""/>
      <w:lvlJc w:val="left"/>
      <w:pPr>
        <w:ind w:left="4374" w:hanging="360"/>
      </w:pPr>
      <w:rPr>
        <w:rFonts w:ascii="Symbol" w:hAnsi="Symbol" w:hint="default"/>
      </w:rPr>
    </w:lvl>
  </w:abstractNum>
  <w:abstractNum w:abstractNumId="25" w15:restartNumberingAfterBreak="0">
    <w:nsid w:val="3D0AD3CC"/>
    <w:multiLevelType w:val="hybridMultilevel"/>
    <w:tmpl w:val="6298BF1E"/>
    <w:lvl w:ilvl="0" w:tplc="9594FD20">
      <w:start w:val="1"/>
      <w:numFmt w:val="bullet"/>
      <w:lvlText w:val="·"/>
      <w:lvlJc w:val="left"/>
      <w:pPr>
        <w:ind w:left="720" w:hanging="360"/>
      </w:pPr>
      <w:rPr>
        <w:rFonts w:ascii="Symbol" w:hAnsi="Symbol" w:hint="default"/>
      </w:rPr>
    </w:lvl>
    <w:lvl w:ilvl="1" w:tplc="7B3E720E">
      <w:start w:val="1"/>
      <w:numFmt w:val="bullet"/>
      <w:lvlText w:val="o"/>
      <w:lvlJc w:val="left"/>
      <w:pPr>
        <w:ind w:left="1440" w:hanging="360"/>
      </w:pPr>
      <w:rPr>
        <w:rFonts w:ascii="Courier New" w:hAnsi="Courier New" w:hint="default"/>
      </w:rPr>
    </w:lvl>
    <w:lvl w:ilvl="2" w:tplc="085E4318">
      <w:start w:val="1"/>
      <w:numFmt w:val="bullet"/>
      <w:lvlText w:val=""/>
      <w:lvlJc w:val="left"/>
      <w:pPr>
        <w:ind w:left="2160" w:hanging="360"/>
      </w:pPr>
      <w:rPr>
        <w:rFonts w:ascii="Wingdings" w:hAnsi="Wingdings" w:hint="default"/>
      </w:rPr>
    </w:lvl>
    <w:lvl w:ilvl="3" w:tplc="47AE4AC8">
      <w:start w:val="1"/>
      <w:numFmt w:val="bullet"/>
      <w:lvlText w:val=""/>
      <w:lvlJc w:val="left"/>
      <w:pPr>
        <w:ind w:left="2880" w:hanging="360"/>
      </w:pPr>
      <w:rPr>
        <w:rFonts w:ascii="Symbol" w:hAnsi="Symbol" w:hint="default"/>
      </w:rPr>
    </w:lvl>
    <w:lvl w:ilvl="4" w:tplc="4E0A3960">
      <w:start w:val="1"/>
      <w:numFmt w:val="bullet"/>
      <w:lvlText w:val="o"/>
      <w:lvlJc w:val="left"/>
      <w:pPr>
        <w:ind w:left="3600" w:hanging="360"/>
      </w:pPr>
      <w:rPr>
        <w:rFonts w:ascii="Courier New" w:hAnsi="Courier New" w:hint="default"/>
      </w:rPr>
    </w:lvl>
    <w:lvl w:ilvl="5" w:tplc="74A0B27C">
      <w:start w:val="1"/>
      <w:numFmt w:val="bullet"/>
      <w:lvlText w:val=""/>
      <w:lvlJc w:val="left"/>
      <w:pPr>
        <w:ind w:left="4320" w:hanging="360"/>
      </w:pPr>
      <w:rPr>
        <w:rFonts w:ascii="Wingdings" w:hAnsi="Wingdings" w:hint="default"/>
      </w:rPr>
    </w:lvl>
    <w:lvl w:ilvl="6" w:tplc="DE22708C">
      <w:start w:val="1"/>
      <w:numFmt w:val="bullet"/>
      <w:lvlText w:val=""/>
      <w:lvlJc w:val="left"/>
      <w:pPr>
        <w:ind w:left="5040" w:hanging="360"/>
      </w:pPr>
      <w:rPr>
        <w:rFonts w:ascii="Symbol" w:hAnsi="Symbol" w:hint="default"/>
      </w:rPr>
    </w:lvl>
    <w:lvl w:ilvl="7" w:tplc="2F4E1772">
      <w:start w:val="1"/>
      <w:numFmt w:val="bullet"/>
      <w:lvlText w:val="o"/>
      <w:lvlJc w:val="left"/>
      <w:pPr>
        <w:ind w:left="5760" w:hanging="360"/>
      </w:pPr>
      <w:rPr>
        <w:rFonts w:ascii="Courier New" w:hAnsi="Courier New" w:hint="default"/>
      </w:rPr>
    </w:lvl>
    <w:lvl w:ilvl="8" w:tplc="C5B6928C">
      <w:start w:val="1"/>
      <w:numFmt w:val="bullet"/>
      <w:lvlText w:val=""/>
      <w:lvlJc w:val="left"/>
      <w:pPr>
        <w:ind w:left="6480" w:hanging="360"/>
      </w:pPr>
      <w:rPr>
        <w:rFonts w:ascii="Wingdings" w:hAnsi="Wingdings" w:hint="default"/>
      </w:rPr>
    </w:lvl>
  </w:abstractNum>
  <w:abstractNum w:abstractNumId="26" w15:restartNumberingAfterBreak="0">
    <w:nsid w:val="44634C00"/>
    <w:multiLevelType w:val="hybridMultilevel"/>
    <w:tmpl w:val="8C5AE15C"/>
    <w:lvl w:ilvl="0" w:tplc="FFFFFFFF">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53557B9"/>
    <w:multiLevelType w:val="hybridMultilevel"/>
    <w:tmpl w:val="30C8D7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8564AB1"/>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4B858928"/>
    <w:multiLevelType w:val="hybridMultilevel"/>
    <w:tmpl w:val="FFFFFFFF"/>
    <w:lvl w:ilvl="0" w:tplc="4EC68142">
      <w:start w:val="1"/>
      <w:numFmt w:val="bullet"/>
      <w:lvlText w:val=""/>
      <w:lvlJc w:val="left"/>
      <w:pPr>
        <w:ind w:left="720" w:hanging="360"/>
      </w:pPr>
      <w:rPr>
        <w:rFonts w:ascii="Symbol" w:hAnsi="Symbol" w:hint="default"/>
      </w:rPr>
    </w:lvl>
    <w:lvl w:ilvl="1" w:tplc="2EAABAE0">
      <w:start w:val="1"/>
      <w:numFmt w:val="bullet"/>
      <w:lvlText w:val="-"/>
      <w:lvlJc w:val="left"/>
      <w:pPr>
        <w:ind w:left="1440" w:hanging="360"/>
      </w:pPr>
      <w:rPr>
        <w:rFonts w:ascii="Calibri" w:hAnsi="Calibri" w:hint="default"/>
      </w:rPr>
    </w:lvl>
    <w:lvl w:ilvl="2" w:tplc="C2780948">
      <w:start w:val="1"/>
      <w:numFmt w:val="bullet"/>
      <w:lvlText w:val=""/>
      <w:lvlJc w:val="left"/>
      <w:pPr>
        <w:ind w:left="2160" w:hanging="360"/>
      </w:pPr>
      <w:rPr>
        <w:rFonts w:ascii="Wingdings" w:hAnsi="Wingdings" w:hint="default"/>
      </w:rPr>
    </w:lvl>
    <w:lvl w:ilvl="3" w:tplc="7D60340A">
      <w:start w:val="1"/>
      <w:numFmt w:val="bullet"/>
      <w:lvlText w:val=""/>
      <w:lvlJc w:val="left"/>
      <w:pPr>
        <w:ind w:left="2880" w:hanging="360"/>
      </w:pPr>
      <w:rPr>
        <w:rFonts w:ascii="Symbol" w:hAnsi="Symbol" w:hint="default"/>
      </w:rPr>
    </w:lvl>
    <w:lvl w:ilvl="4" w:tplc="AFC6A9E4">
      <w:start w:val="1"/>
      <w:numFmt w:val="bullet"/>
      <w:lvlText w:val="o"/>
      <w:lvlJc w:val="left"/>
      <w:pPr>
        <w:ind w:left="3600" w:hanging="360"/>
      </w:pPr>
      <w:rPr>
        <w:rFonts w:ascii="Courier New" w:hAnsi="Courier New" w:hint="default"/>
      </w:rPr>
    </w:lvl>
    <w:lvl w:ilvl="5" w:tplc="00B0CC40">
      <w:start w:val="1"/>
      <w:numFmt w:val="bullet"/>
      <w:lvlText w:val=""/>
      <w:lvlJc w:val="left"/>
      <w:pPr>
        <w:ind w:left="4320" w:hanging="360"/>
      </w:pPr>
      <w:rPr>
        <w:rFonts w:ascii="Wingdings" w:hAnsi="Wingdings" w:hint="default"/>
      </w:rPr>
    </w:lvl>
    <w:lvl w:ilvl="6" w:tplc="4DA8A316">
      <w:start w:val="1"/>
      <w:numFmt w:val="bullet"/>
      <w:lvlText w:val=""/>
      <w:lvlJc w:val="left"/>
      <w:pPr>
        <w:ind w:left="5040" w:hanging="360"/>
      </w:pPr>
      <w:rPr>
        <w:rFonts w:ascii="Symbol" w:hAnsi="Symbol" w:hint="default"/>
      </w:rPr>
    </w:lvl>
    <w:lvl w:ilvl="7" w:tplc="FDAC5ED8">
      <w:start w:val="1"/>
      <w:numFmt w:val="bullet"/>
      <w:lvlText w:val="o"/>
      <w:lvlJc w:val="left"/>
      <w:pPr>
        <w:ind w:left="5760" w:hanging="360"/>
      </w:pPr>
      <w:rPr>
        <w:rFonts w:ascii="Courier New" w:hAnsi="Courier New" w:hint="default"/>
      </w:rPr>
    </w:lvl>
    <w:lvl w:ilvl="8" w:tplc="F20A34B6">
      <w:start w:val="1"/>
      <w:numFmt w:val="bullet"/>
      <w:lvlText w:val=""/>
      <w:lvlJc w:val="left"/>
      <w:pPr>
        <w:ind w:left="6480" w:hanging="360"/>
      </w:pPr>
      <w:rPr>
        <w:rFonts w:ascii="Wingdings" w:hAnsi="Wingdings" w:hint="default"/>
      </w:rPr>
    </w:lvl>
  </w:abstractNum>
  <w:abstractNum w:abstractNumId="30" w15:restartNumberingAfterBreak="0">
    <w:nsid w:val="4C757905"/>
    <w:multiLevelType w:val="hybridMultilevel"/>
    <w:tmpl w:val="123627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D06120D"/>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56C51CED"/>
    <w:multiLevelType w:val="hybridMultilevel"/>
    <w:tmpl w:val="A87E6140"/>
    <w:lvl w:ilvl="0" w:tplc="513E1EAC">
      <w:start w:val="1"/>
      <w:numFmt w:val="bullet"/>
      <w:lvlText w:val="-"/>
      <w:lvlJc w:val="left"/>
      <w:pPr>
        <w:ind w:left="720" w:hanging="360"/>
      </w:pPr>
      <w:rPr>
        <w:rFonts w:ascii="Calibri" w:hAnsi="Calibri" w:hint="default"/>
      </w:rPr>
    </w:lvl>
    <w:lvl w:ilvl="1" w:tplc="F2286894">
      <w:start w:val="1"/>
      <w:numFmt w:val="bullet"/>
      <w:lvlText w:val="o"/>
      <w:lvlJc w:val="left"/>
      <w:pPr>
        <w:ind w:left="1440" w:hanging="360"/>
      </w:pPr>
      <w:rPr>
        <w:rFonts w:ascii="Courier New" w:hAnsi="Courier New" w:hint="default"/>
      </w:rPr>
    </w:lvl>
    <w:lvl w:ilvl="2" w:tplc="854A022A">
      <w:start w:val="1"/>
      <w:numFmt w:val="bullet"/>
      <w:lvlText w:val=""/>
      <w:lvlJc w:val="left"/>
      <w:pPr>
        <w:ind w:left="2160" w:hanging="360"/>
      </w:pPr>
      <w:rPr>
        <w:rFonts w:ascii="Wingdings" w:hAnsi="Wingdings" w:hint="default"/>
      </w:rPr>
    </w:lvl>
    <w:lvl w:ilvl="3" w:tplc="578045F0">
      <w:start w:val="1"/>
      <w:numFmt w:val="bullet"/>
      <w:lvlText w:val=""/>
      <w:lvlJc w:val="left"/>
      <w:pPr>
        <w:ind w:left="2880" w:hanging="360"/>
      </w:pPr>
      <w:rPr>
        <w:rFonts w:ascii="Symbol" w:hAnsi="Symbol" w:hint="default"/>
      </w:rPr>
    </w:lvl>
    <w:lvl w:ilvl="4" w:tplc="644C2A76">
      <w:start w:val="1"/>
      <w:numFmt w:val="bullet"/>
      <w:lvlText w:val="o"/>
      <w:lvlJc w:val="left"/>
      <w:pPr>
        <w:ind w:left="3600" w:hanging="360"/>
      </w:pPr>
      <w:rPr>
        <w:rFonts w:ascii="Courier New" w:hAnsi="Courier New" w:hint="default"/>
      </w:rPr>
    </w:lvl>
    <w:lvl w:ilvl="5" w:tplc="6786EFF8">
      <w:start w:val="1"/>
      <w:numFmt w:val="bullet"/>
      <w:lvlText w:val=""/>
      <w:lvlJc w:val="left"/>
      <w:pPr>
        <w:ind w:left="4320" w:hanging="360"/>
      </w:pPr>
      <w:rPr>
        <w:rFonts w:ascii="Wingdings" w:hAnsi="Wingdings" w:hint="default"/>
      </w:rPr>
    </w:lvl>
    <w:lvl w:ilvl="6" w:tplc="908E3FC4">
      <w:start w:val="1"/>
      <w:numFmt w:val="bullet"/>
      <w:lvlText w:val=""/>
      <w:lvlJc w:val="left"/>
      <w:pPr>
        <w:ind w:left="5040" w:hanging="360"/>
      </w:pPr>
      <w:rPr>
        <w:rFonts w:ascii="Symbol" w:hAnsi="Symbol" w:hint="default"/>
      </w:rPr>
    </w:lvl>
    <w:lvl w:ilvl="7" w:tplc="9C02A7BA">
      <w:start w:val="1"/>
      <w:numFmt w:val="bullet"/>
      <w:lvlText w:val="o"/>
      <w:lvlJc w:val="left"/>
      <w:pPr>
        <w:ind w:left="5760" w:hanging="360"/>
      </w:pPr>
      <w:rPr>
        <w:rFonts w:ascii="Courier New" w:hAnsi="Courier New" w:hint="default"/>
      </w:rPr>
    </w:lvl>
    <w:lvl w:ilvl="8" w:tplc="3168D632">
      <w:start w:val="1"/>
      <w:numFmt w:val="bullet"/>
      <w:lvlText w:val=""/>
      <w:lvlJc w:val="left"/>
      <w:pPr>
        <w:ind w:left="6480" w:hanging="360"/>
      </w:pPr>
      <w:rPr>
        <w:rFonts w:ascii="Wingdings" w:hAnsi="Wingdings" w:hint="default"/>
      </w:rPr>
    </w:lvl>
  </w:abstractNum>
  <w:abstractNum w:abstractNumId="33" w15:restartNumberingAfterBreak="0">
    <w:nsid w:val="5701FFD0"/>
    <w:multiLevelType w:val="hybridMultilevel"/>
    <w:tmpl w:val="FFFFFFFF"/>
    <w:lvl w:ilvl="0" w:tplc="5E009658">
      <w:start w:val="1"/>
      <w:numFmt w:val="bullet"/>
      <w:lvlText w:val="-"/>
      <w:lvlJc w:val="left"/>
      <w:pPr>
        <w:ind w:left="720" w:hanging="360"/>
      </w:pPr>
      <w:rPr>
        <w:rFonts w:ascii="Calibri" w:hAnsi="Calibri" w:hint="default"/>
      </w:rPr>
    </w:lvl>
    <w:lvl w:ilvl="1" w:tplc="3ACCFFEE">
      <w:start w:val="1"/>
      <w:numFmt w:val="bullet"/>
      <w:lvlText w:val="o"/>
      <w:lvlJc w:val="left"/>
      <w:pPr>
        <w:ind w:left="1440" w:hanging="360"/>
      </w:pPr>
      <w:rPr>
        <w:rFonts w:ascii="Courier New" w:hAnsi="Courier New" w:hint="default"/>
      </w:rPr>
    </w:lvl>
    <w:lvl w:ilvl="2" w:tplc="09124ABA">
      <w:start w:val="1"/>
      <w:numFmt w:val="bullet"/>
      <w:lvlText w:val=""/>
      <w:lvlJc w:val="left"/>
      <w:pPr>
        <w:ind w:left="2160" w:hanging="360"/>
      </w:pPr>
      <w:rPr>
        <w:rFonts w:ascii="Wingdings" w:hAnsi="Wingdings" w:hint="default"/>
      </w:rPr>
    </w:lvl>
    <w:lvl w:ilvl="3" w:tplc="18444516">
      <w:start w:val="1"/>
      <w:numFmt w:val="bullet"/>
      <w:lvlText w:val=""/>
      <w:lvlJc w:val="left"/>
      <w:pPr>
        <w:ind w:left="2880" w:hanging="360"/>
      </w:pPr>
      <w:rPr>
        <w:rFonts w:ascii="Symbol" w:hAnsi="Symbol" w:hint="default"/>
      </w:rPr>
    </w:lvl>
    <w:lvl w:ilvl="4" w:tplc="E1A8A3F6">
      <w:start w:val="1"/>
      <w:numFmt w:val="bullet"/>
      <w:lvlText w:val="o"/>
      <w:lvlJc w:val="left"/>
      <w:pPr>
        <w:ind w:left="3600" w:hanging="360"/>
      </w:pPr>
      <w:rPr>
        <w:rFonts w:ascii="Courier New" w:hAnsi="Courier New" w:hint="default"/>
      </w:rPr>
    </w:lvl>
    <w:lvl w:ilvl="5" w:tplc="908A61A4">
      <w:start w:val="1"/>
      <w:numFmt w:val="bullet"/>
      <w:lvlText w:val=""/>
      <w:lvlJc w:val="left"/>
      <w:pPr>
        <w:ind w:left="4320" w:hanging="360"/>
      </w:pPr>
      <w:rPr>
        <w:rFonts w:ascii="Wingdings" w:hAnsi="Wingdings" w:hint="default"/>
      </w:rPr>
    </w:lvl>
    <w:lvl w:ilvl="6" w:tplc="37BA68DE">
      <w:start w:val="1"/>
      <w:numFmt w:val="bullet"/>
      <w:lvlText w:val=""/>
      <w:lvlJc w:val="left"/>
      <w:pPr>
        <w:ind w:left="5040" w:hanging="360"/>
      </w:pPr>
      <w:rPr>
        <w:rFonts w:ascii="Symbol" w:hAnsi="Symbol" w:hint="default"/>
      </w:rPr>
    </w:lvl>
    <w:lvl w:ilvl="7" w:tplc="959E46AC">
      <w:start w:val="1"/>
      <w:numFmt w:val="bullet"/>
      <w:lvlText w:val="o"/>
      <w:lvlJc w:val="left"/>
      <w:pPr>
        <w:ind w:left="5760" w:hanging="360"/>
      </w:pPr>
      <w:rPr>
        <w:rFonts w:ascii="Courier New" w:hAnsi="Courier New" w:hint="default"/>
      </w:rPr>
    </w:lvl>
    <w:lvl w:ilvl="8" w:tplc="90522C9C">
      <w:start w:val="1"/>
      <w:numFmt w:val="bullet"/>
      <w:lvlText w:val=""/>
      <w:lvlJc w:val="left"/>
      <w:pPr>
        <w:ind w:left="6480" w:hanging="360"/>
      </w:pPr>
      <w:rPr>
        <w:rFonts w:ascii="Wingdings" w:hAnsi="Wingdings" w:hint="default"/>
      </w:rPr>
    </w:lvl>
  </w:abstractNum>
  <w:abstractNum w:abstractNumId="34" w15:restartNumberingAfterBreak="0">
    <w:nsid w:val="5880525A"/>
    <w:multiLevelType w:val="hybridMultilevel"/>
    <w:tmpl w:val="FFFFFFFF"/>
    <w:lvl w:ilvl="0" w:tplc="CCC42808">
      <w:start w:val="1"/>
      <w:numFmt w:val="bullet"/>
      <w:lvlText w:val="-"/>
      <w:lvlJc w:val="left"/>
      <w:pPr>
        <w:ind w:left="720" w:hanging="360"/>
      </w:pPr>
      <w:rPr>
        <w:rFonts w:ascii="Calibri" w:hAnsi="Calibri" w:hint="default"/>
      </w:rPr>
    </w:lvl>
    <w:lvl w:ilvl="1" w:tplc="13A88DD6">
      <w:start w:val="1"/>
      <w:numFmt w:val="bullet"/>
      <w:lvlText w:val="o"/>
      <w:lvlJc w:val="left"/>
      <w:pPr>
        <w:ind w:left="1440" w:hanging="360"/>
      </w:pPr>
      <w:rPr>
        <w:rFonts w:ascii="Courier New" w:hAnsi="Courier New" w:hint="default"/>
      </w:rPr>
    </w:lvl>
    <w:lvl w:ilvl="2" w:tplc="C7D8428C">
      <w:start w:val="1"/>
      <w:numFmt w:val="bullet"/>
      <w:lvlText w:val=""/>
      <w:lvlJc w:val="left"/>
      <w:pPr>
        <w:ind w:left="2160" w:hanging="360"/>
      </w:pPr>
      <w:rPr>
        <w:rFonts w:ascii="Wingdings" w:hAnsi="Wingdings" w:hint="default"/>
      </w:rPr>
    </w:lvl>
    <w:lvl w:ilvl="3" w:tplc="7138EC4E">
      <w:start w:val="1"/>
      <w:numFmt w:val="bullet"/>
      <w:lvlText w:val=""/>
      <w:lvlJc w:val="left"/>
      <w:pPr>
        <w:ind w:left="2880" w:hanging="360"/>
      </w:pPr>
      <w:rPr>
        <w:rFonts w:ascii="Symbol" w:hAnsi="Symbol" w:hint="default"/>
      </w:rPr>
    </w:lvl>
    <w:lvl w:ilvl="4" w:tplc="0728F35C">
      <w:start w:val="1"/>
      <w:numFmt w:val="bullet"/>
      <w:lvlText w:val="o"/>
      <w:lvlJc w:val="left"/>
      <w:pPr>
        <w:ind w:left="3600" w:hanging="360"/>
      </w:pPr>
      <w:rPr>
        <w:rFonts w:ascii="Courier New" w:hAnsi="Courier New" w:hint="default"/>
      </w:rPr>
    </w:lvl>
    <w:lvl w:ilvl="5" w:tplc="D0087BC4">
      <w:start w:val="1"/>
      <w:numFmt w:val="bullet"/>
      <w:lvlText w:val=""/>
      <w:lvlJc w:val="left"/>
      <w:pPr>
        <w:ind w:left="4320" w:hanging="360"/>
      </w:pPr>
      <w:rPr>
        <w:rFonts w:ascii="Wingdings" w:hAnsi="Wingdings" w:hint="default"/>
      </w:rPr>
    </w:lvl>
    <w:lvl w:ilvl="6" w:tplc="951CEDE0">
      <w:start w:val="1"/>
      <w:numFmt w:val="bullet"/>
      <w:lvlText w:val=""/>
      <w:lvlJc w:val="left"/>
      <w:pPr>
        <w:ind w:left="5040" w:hanging="360"/>
      </w:pPr>
      <w:rPr>
        <w:rFonts w:ascii="Symbol" w:hAnsi="Symbol" w:hint="default"/>
      </w:rPr>
    </w:lvl>
    <w:lvl w:ilvl="7" w:tplc="53F2D0DA">
      <w:start w:val="1"/>
      <w:numFmt w:val="bullet"/>
      <w:lvlText w:val="o"/>
      <w:lvlJc w:val="left"/>
      <w:pPr>
        <w:ind w:left="5760" w:hanging="360"/>
      </w:pPr>
      <w:rPr>
        <w:rFonts w:ascii="Courier New" w:hAnsi="Courier New" w:hint="default"/>
      </w:rPr>
    </w:lvl>
    <w:lvl w:ilvl="8" w:tplc="CD6C3FD8">
      <w:start w:val="1"/>
      <w:numFmt w:val="bullet"/>
      <w:lvlText w:val=""/>
      <w:lvlJc w:val="left"/>
      <w:pPr>
        <w:ind w:left="6480" w:hanging="360"/>
      </w:pPr>
      <w:rPr>
        <w:rFonts w:ascii="Wingdings" w:hAnsi="Wingdings" w:hint="default"/>
      </w:rPr>
    </w:lvl>
  </w:abstractNum>
  <w:abstractNum w:abstractNumId="35" w15:restartNumberingAfterBreak="0">
    <w:nsid w:val="5FCD34F7"/>
    <w:multiLevelType w:val="hybridMultilevel"/>
    <w:tmpl w:val="FFFFFFFF"/>
    <w:lvl w:ilvl="0" w:tplc="43102E72">
      <w:start w:val="1"/>
      <w:numFmt w:val="bullet"/>
      <w:lvlText w:val=""/>
      <w:lvlJc w:val="left"/>
      <w:pPr>
        <w:ind w:left="720" w:hanging="360"/>
      </w:pPr>
      <w:rPr>
        <w:rFonts w:ascii="Symbol" w:hAnsi="Symbol" w:hint="default"/>
      </w:rPr>
    </w:lvl>
    <w:lvl w:ilvl="1" w:tplc="19E01E1C">
      <w:start w:val="1"/>
      <w:numFmt w:val="bullet"/>
      <w:lvlText w:val="-"/>
      <w:lvlJc w:val="left"/>
      <w:pPr>
        <w:ind w:left="1440" w:hanging="360"/>
      </w:pPr>
      <w:rPr>
        <w:rFonts w:ascii="Calibri" w:hAnsi="Calibri" w:hint="default"/>
      </w:rPr>
    </w:lvl>
    <w:lvl w:ilvl="2" w:tplc="7352ABFA">
      <w:start w:val="1"/>
      <w:numFmt w:val="bullet"/>
      <w:lvlText w:val=""/>
      <w:lvlJc w:val="left"/>
      <w:pPr>
        <w:ind w:left="2160" w:hanging="360"/>
      </w:pPr>
      <w:rPr>
        <w:rFonts w:ascii="Wingdings" w:hAnsi="Wingdings" w:hint="default"/>
      </w:rPr>
    </w:lvl>
    <w:lvl w:ilvl="3" w:tplc="38C8CAB0">
      <w:start w:val="1"/>
      <w:numFmt w:val="bullet"/>
      <w:lvlText w:val=""/>
      <w:lvlJc w:val="left"/>
      <w:pPr>
        <w:ind w:left="2880" w:hanging="360"/>
      </w:pPr>
      <w:rPr>
        <w:rFonts w:ascii="Symbol" w:hAnsi="Symbol" w:hint="default"/>
      </w:rPr>
    </w:lvl>
    <w:lvl w:ilvl="4" w:tplc="702CA4E8">
      <w:start w:val="1"/>
      <w:numFmt w:val="bullet"/>
      <w:lvlText w:val="o"/>
      <w:lvlJc w:val="left"/>
      <w:pPr>
        <w:ind w:left="3600" w:hanging="360"/>
      </w:pPr>
      <w:rPr>
        <w:rFonts w:ascii="Courier New" w:hAnsi="Courier New" w:hint="default"/>
      </w:rPr>
    </w:lvl>
    <w:lvl w:ilvl="5" w:tplc="F6ACDAC6">
      <w:start w:val="1"/>
      <w:numFmt w:val="bullet"/>
      <w:lvlText w:val=""/>
      <w:lvlJc w:val="left"/>
      <w:pPr>
        <w:ind w:left="4320" w:hanging="360"/>
      </w:pPr>
      <w:rPr>
        <w:rFonts w:ascii="Wingdings" w:hAnsi="Wingdings" w:hint="default"/>
      </w:rPr>
    </w:lvl>
    <w:lvl w:ilvl="6" w:tplc="80CA2E2C">
      <w:start w:val="1"/>
      <w:numFmt w:val="bullet"/>
      <w:lvlText w:val=""/>
      <w:lvlJc w:val="left"/>
      <w:pPr>
        <w:ind w:left="5040" w:hanging="360"/>
      </w:pPr>
      <w:rPr>
        <w:rFonts w:ascii="Symbol" w:hAnsi="Symbol" w:hint="default"/>
      </w:rPr>
    </w:lvl>
    <w:lvl w:ilvl="7" w:tplc="A22A8F6A">
      <w:start w:val="1"/>
      <w:numFmt w:val="bullet"/>
      <w:lvlText w:val="o"/>
      <w:lvlJc w:val="left"/>
      <w:pPr>
        <w:ind w:left="5760" w:hanging="360"/>
      </w:pPr>
      <w:rPr>
        <w:rFonts w:ascii="Courier New" w:hAnsi="Courier New" w:hint="default"/>
      </w:rPr>
    </w:lvl>
    <w:lvl w:ilvl="8" w:tplc="572A37B4">
      <w:start w:val="1"/>
      <w:numFmt w:val="bullet"/>
      <w:lvlText w:val=""/>
      <w:lvlJc w:val="left"/>
      <w:pPr>
        <w:ind w:left="6480" w:hanging="360"/>
      </w:pPr>
      <w:rPr>
        <w:rFonts w:ascii="Wingdings" w:hAnsi="Wingdings" w:hint="default"/>
      </w:rPr>
    </w:lvl>
  </w:abstractNum>
  <w:abstractNum w:abstractNumId="36" w15:restartNumberingAfterBreak="0">
    <w:nsid w:val="61D453BD"/>
    <w:multiLevelType w:val="hybridMultilevel"/>
    <w:tmpl w:val="F3662E1A"/>
    <w:lvl w:ilvl="0" w:tplc="648CCD88">
      <w:start w:val="1"/>
      <w:numFmt w:val="bullet"/>
      <w:pStyle w:val="BTStreep"/>
      <w:lvlText w:val="־"/>
      <w:lvlJc w:val="left"/>
      <w:pPr>
        <w:tabs>
          <w:tab w:val="num" w:pos="680"/>
        </w:tabs>
        <w:ind w:left="680" w:hanging="340"/>
      </w:pPr>
      <w:rPr>
        <w:rFonts w:ascii="Times New Roman" w:hAnsi="Times New Roman" w:hint="default"/>
        <w:color w:val="auto"/>
        <w:sz w:val="20"/>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2D748E1"/>
    <w:multiLevelType w:val="hybridMultilevel"/>
    <w:tmpl w:val="981CDE20"/>
    <w:lvl w:ilvl="0" w:tplc="1560523E">
      <w:start w:val="1"/>
      <w:numFmt w:val="bullet"/>
      <w:lvlText w:val="·"/>
      <w:lvlJc w:val="left"/>
      <w:pPr>
        <w:ind w:left="720" w:hanging="360"/>
      </w:pPr>
      <w:rPr>
        <w:rFonts w:ascii="Symbol" w:hAnsi="Symbol" w:hint="default"/>
      </w:rPr>
    </w:lvl>
    <w:lvl w:ilvl="1" w:tplc="821602F6">
      <w:start w:val="1"/>
      <w:numFmt w:val="bullet"/>
      <w:lvlText w:val="o"/>
      <w:lvlJc w:val="left"/>
      <w:pPr>
        <w:ind w:left="1440" w:hanging="360"/>
      </w:pPr>
      <w:rPr>
        <w:rFonts w:ascii="Courier New" w:hAnsi="Courier New" w:hint="default"/>
      </w:rPr>
    </w:lvl>
    <w:lvl w:ilvl="2" w:tplc="E4B243AC">
      <w:start w:val="1"/>
      <w:numFmt w:val="bullet"/>
      <w:lvlText w:val=""/>
      <w:lvlJc w:val="left"/>
      <w:pPr>
        <w:ind w:left="2160" w:hanging="360"/>
      </w:pPr>
      <w:rPr>
        <w:rFonts w:ascii="Wingdings" w:hAnsi="Wingdings" w:hint="default"/>
      </w:rPr>
    </w:lvl>
    <w:lvl w:ilvl="3" w:tplc="9B3CCF38">
      <w:start w:val="1"/>
      <w:numFmt w:val="bullet"/>
      <w:lvlText w:val=""/>
      <w:lvlJc w:val="left"/>
      <w:pPr>
        <w:ind w:left="2880" w:hanging="360"/>
      </w:pPr>
      <w:rPr>
        <w:rFonts w:ascii="Symbol" w:hAnsi="Symbol" w:hint="default"/>
      </w:rPr>
    </w:lvl>
    <w:lvl w:ilvl="4" w:tplc="1D7442FA">
      <w:start w:val="1"/>
      <w:numFmt w:val="bullet"/>
      <w:lvlText w:val="o"/>
      <w:lvlJc w:val="left"/>
      <w:pPr>
        <w:ind w:left="3600" w:hanging="360"/>
      </w:pPr>
      <w:rPr>
        <w:rFonts w:ascii="Courier New" w:hAnsi="Courier New" w:hint="default"/>
      </w:rPr>
    </w:lvl>
    <w:lvl w:ilvl="5" w:tplc="EEB67A64">
      <w:start w:val="1"/>
      <w:numFmt w:val="bullet"/>
      <w:lvlText w:val=""/>
      <w:lvlJc w:val="left"/>
      <w:pPr>
        <w:ind w:left="4320" w:hanging="360"/>
      </w:pPr>
      <w:rPr>
        <w:rFonts w:ascii="Wingdings" w:hAnsi="Wingdings" w:hint="default"/>
      </w:rPr>
    </w:lvl>
    <w:lvl w:ilvl="6" w:tplc="DB025A14">
      <w:start w:val="1"/>
      <w:numFmt w:val="bullet"/>
      <w:lvlText w:val=""/>
      <w:lvlJc w:val="left"/>
      <w:pPr>
        <w:ind w:left="5040" w:hanging="360"/>
      </w:pPr>
      <w:rPr>
        <w:rFonts w:ascii="Symbol" w:hAnsi="Symbol" w:hint="default"/>
      </w:rPr>
    </w:lvl>
    <w:lvl w:ilvl="7" w:tplc="34A646C2">
      <w:start w:val="1"/>
      <w:numFmt w:val="bullet"/>
      <w:lvlText w:val="o"/>
      <w:lvlJc w:val="left"/>
      <w:pPr>
        <w:ind w:left="5760" w:hanging="360"/>
      </w:pPr>
      <w:rPr>
        <w:rFonts w:ascii="Courier New" w:hAnsi="Courier New" w:hint="default"/>
      </w:rPr>
    </w:lvl>
    <w:lvl w:ilvl="8" w:tplc="D1649126">
      <w:start w:val="1"/>
      <w:numFmt w:val="bullet"/>
      <w:lvlText w:val=""/>
      <w:lvlJc w:val="left"/>
      <w:pPr>
        <w:ind w:left="6480" w:hanging="360"/>
      </w:pPr>
      <w:rPr>
        <w:rFonts w:ascii="Wingdings" w:hAnsi="Wingdings" w:hint="default"/>
      </w:rPr>
    </w:lvl>
  </w:abstractNum>
  <w:abstractNum w:abstractNumId="38" w15:restartNumberingAfterBreak="0">
    <w:nsid w:val="6357A623"/>
    <w:multiLevelType w:val="hybridMultilevel"/>
    <w:tmpl w:val="FFFFFFFF"/>
    <w:lvl w:ilvl="0" w:tplc="89E472F2">
      <w:start w:val="1"/>
      <w:numFmt w:val="bullet"/>
      <w:lvlText w:val="-"/>
      <w:lvlJc w:val="left"/>
      <w:pPr>
        <w:ind w:left="720" w:hanging="360"/>
      </w:pPr>
      <w:rPr>
        <w:rFonts w:ascii="Calibri" w:hAnsi="Calibri" w:hint="default"/>
      </w:rPr>
    </w:lvl>
    <w:lvl w:ilvl="1" w:tplc="48AC5D1A">
      <w:start w:val="1"/>
      <w:numFmt w:val="bullet"/>
      <w:lvlText w:val="o"/>
      <w:lvlJc w:val="left"/>
      <w:pPr>
        <w:ind w:left="1440" w:hanging="360"/>
      </w:pPr>
      <w:rPr>
        <w:rFonts w:ascii="Courier New" w:hAnsi="Courier New" w:hint="default"/>
      </w:rPr>
    </w:lvl>
    <w:lvl w:ilvl="2" w:tplc="0A5A9AC6">
      <w:start w:val="1"/>
      <w:numFmt w:val="bullet"/>
      <w:lvlText w:val=""/>
      <w:lvlJc w:val="left"/>
      <w:pPr>
        <w:ind w:left="2160" w:hanging="360"/>
      </w:pPr>
      <w:rPr>
        <w:rFonts w:ascii="Wingdings" w:hAnsi="Wingdings" w:hint="default"/>
      </w:rPr>
    </w:lvl>
    <w:lvl w:ilvl="3" w:tplc="4CA6F82A">
      <w:start w:val="1"/>
      <w:numFmt w:val="bullet"/>
      <w:lvlText w:val=""/>
      <w:lvlJc w:val="left"/>
      <w:pPr>
        <w:ind w:left="2880" w:hanging="360"/>
      </w:pPr>
      <w:rPr>
        <w:rFonts w:ascii="Symbol" w:hAnsi="Symbol" w:hint="default"/>
      </w:rPr>
    </w:lvl>
    <w:lvl w:ilvl="4" w:tplc="21AC2A3E">
      <w:start w:val="1"/>
      <w:numFmt w:val="bullet"/>
      <w:lvlText w:val="o"/>
      <w:lvlJc w:val="left"/>
      <w:pPr>
        <w:ind w:left="3600" w:hanging="360"/>
      </w:pPr>
      <w:rPr>
        <w:rFonts w:ascii="Courier New" w:hAnsi="Courier New" w:hint="default"/>
      </w:rPr>
    </w:lvl>
    <w:lvl w:ilvl="5" w:tplc="E7426808">
      <w:start w:val="1"/>
      <w:numFmt w:val="bullet"/>
      <w:lvlText w:val=""/>
      <w:lvlJc w:val="left"/>
      <w:pPr>
        <w:ind w:left="4320" w:hanging="360"/>
      </w:pPr>
      <w:rPr>
        <w:rFonts w:ascii="Wingdings" w:hAnsi="Wingdings" w:hint="default"/>
      </w:rPr>
    </w:lvl>
    <w:lvl w:ilvl="6" w:tplc="6FE62660">
      <w:start w:val="1"/>
      <w:numFmt w:val="bullet"/>
      <w:lvlText w:val=""/>
      <w:lvlJc w:val="left"/>
      <w:pPr>
        <w:ind w:left="5040" w:hanging="360"/>
      </w:pPr>
      <w:rPr>
        <w:rFonts w:ascii="Symbol" w:hAnsi="Symbol" w:hint="default"/>
      </w:rPr>
    </w:lvl>
    <w:lvl w:ilvl="7" w:tplc="A0AA2312">
      <w:start w:val="1"/>
      <w:numFmt w:val="bullet"/>
      <w:lvlText w:val="o"/>
      <w:lvlJc w:val="left"/>
      <w:pPr>
        <w:ind w:left="5760" w:hanging="360"/>
      </w:pPr>
      <w:rPr>
        <w:rFonts w:ascii="Courier New" w:hAnsi="Courier New" w:hint="default"/>
      </w:rPr>
    </w:lvl>
    <w:lvl w:ilvl="8" w:tplc="EBB4D76A">
      <w:start w:val="1"/>
      <w:numFmt w:val="bullet"/>
      <w:lvlText w:val=""/>
      <w:lvlJc w:val="left"/>
      <w:pPr>
        <w:ind w:left="6480" w:hanging="360"/>
      </w:pPr>
      <w:rPr>
        <w:rFonts w:ascii="Wingdings" w:hAnsi="Wingdings" w:hint="default"/>
      </w:rPr>
    </w:lvl>
  </w:abstractNum>
  <w:abstractNum w:abstractNumId="39" w15:restartNumberingAfterBreak="0">
    <w:nsid w:val="6873C2A3"/>
    <w:multiLevelType w:val="hybridMultilevel"/>
    <w:tmpl w:val="14DA6DAE"/>
    <w:lvl w:ilvl="0" w:tplc="2A346B30">
      <w:start w:val="1"/>
      <w:numFmt w:val="bullet"/>
      <w:lvlText w:val="-"/>
      <w:lvlJc w:val="left"/>
      <w:pPr>
        <w:ind w:left="720" w:hanging="360"/>
      </w:pPr>
      <w:rPr>
        <w:rFonts w:ascii="Calibri" w:hAnsi="Calibri" w:hint="default"/>
      </w:rPr>
    </w:lvl>
    <w:lvl w:ilvl="1" w:tplc="9AE6F398">
      <w:start w:val="1"/>
      <w:numFmt w:val="bullet"/>
      <w:lvlText w:val="o"/>
      <w:lvlJc w:val="left"/>
      <w:pPr>
        <w:ind w:left="1440" w:hanging="360"/>
      </w:pPr>
      <w:rPr>
        <w:rFonts w:ascii="Courier New" w:hAnsi="Courier New" w:hint="default"/>
      </w:rPr>
    </w:lvl>
    <w:lvl w:ilvl="2" w:tplc="9EA0D866">
      <w:start w:val="1"/>
      <w:numFmt w:val="bullet"/>
      <w:lvlText w:val=""/>
      <w:lvlJc w:val="left"/>
      <w:pPr>
        <w:ind w:left="2160" w:hanging="360"/>
      </w:pPr>
      <w:rPr>
        <w:rFonts w:ascii="Wingdings" w:hAnsi="Wingdings" w:hint="default"/>
      </w:rPr>
    </w:lvl>
    <w:lvl w:ilvl="3" w:tplc="84AA03B2">
      <w:start w:val="1"/>
      <w:numFmt w:val="bullet"/>
      <w:lvlText w:val=""/>
      <w:lvlJc w:val="left"/>
      <w:pPr>
        <w:ind w:left="2880" w:hanging="360"/>
      </w:pPr>
      <w:rPr>
        <w:rFonts w:ascii="Symbol" w:hAnsi="Symbol" w:hint="default"/>
      </w:rPr>
    </w:lvl>
    <w:lvl w:ilvl="4" w:tplc="03B201D0">
      <w:start w:val="1"/>
      <w:numFmt w:val="bullet"/>
      <w:lvlText w:val="o"/>
      <w:lvlJc w:val="left"/>
      <w:pPr>
        <w:ind w:left="3600" w:hanging="360"/>
      </w:pPr>
      <w:rPr>
        <w:rFonts w:ascii="Courier New" w:hAnsi="Courier New" w:hint="default"/>
      </w:rPr>
    </w:lvl>
    <w:lvl w:ilvl="5" w:tplc="FD50A3CE">
      <w:start w:val="1"/>
      <w:numFmt w:val="bullet"/>
      <w:lvlText w:val=""/>
      <w:lvlJc w:val="left"/>
      <w:pPr>
        <w:ind w:left="4320" w:hanging="360"/>
      </w:pPr>
      <w:rPr>
        <w:rFonts w:ascii="Wingdings" w:hAnsi="Wingdings" w:hint="default"/>
      </w:rPr>
    </w:lvl>
    <w:lvl w:ilvl="6" w:tplc="A244AC28">
      <w:start w:val="1"/>
      <w:numFmt w:val="bullet"/>
      <w:lvlText w:val=""/>
      <w:lvlJc w:val="left"/>
      <w:pPr>
        <w:ind w:left="5040" w:hanging="360"/>
      </w:pPr>
      <w:rPr>
        <w:rFonts w:ascii="Symbol" w:hAnsi="Symbol" w:hint="default"/>
      </w:rPr>
    </w:lvl>
    <w:lvl w:ilvl="7" w:tplc="1FD8F138">
      <w:start w:val="1"/>
      <w:numFmt w:val="bullet"/>
      <w:lvlText w:val="o"/>
      <w:lvlJc w:val="left"/>
      <w:pPr>
        <w:ind w:left="5760" w:hanging="360"/>
      </w:pPr>
      <w:rPr>
        <w:rFonts w:ascii="Courier New" w:hAnsi="Courier New" w:hint="default"/>
      </w:rPr>
    </w:lvl>
    <w:lvl w:ilvl="8" w:tplc="AD1EDDA4">
      <w:start w:val="1"/>
      <w:numFmt w:val="bullet"/>
      <w:lvlText w:val=""/>
      <w:lvlJc w:val="left"/>
      <w:pPr>
        <w:ind w:left="6480" w:hanging="360"/>
      </w:pPr>
      <w:rPr>
        <w:rFonts w:ascii="Wingdings" w:hAnsi="Wingdings" w:hint="default"/>
      </w:rPr>
    </w:lvl>
  </w:abstractNum>
  <w:abstractNum w:abstractNumId="40" w15:restartNumberingAfterBreak="0">
    <w:nsid w:val="70160771"/>
    <w:multiLevelType w:val="hybridMultilevel"/>
    <w:tmpl w:val="FFFFFFFF"/>
    <w:lvl w:ilvl="0" w:tplc="B322BC1A">
      <w:start w:val="1"/>
      <w:numFmt w:val="bullet"/>
      <w:lvlText w:val="-"/>
      <w:lvlJc w:val="left"/>
      <w:pPr>
        <w:ind w:left="720" w:hanging="360"/>
      </w:pPr>
      <w:rPr>
        <w:rFonts w:ascii="Calibri" w:hAnsi="Calibri" w:hint="default"/>
      </w:rPr>
    </w:lvl>
    <w:lvl w:ilvl="1" w:tplc="E3668404">
      <w:start w:val="1"/>
      <w:numFmt w:val="bullet"/>
      <w:lvlText w:val="o"/>
      <w:lvlJc w:val="left"/>
      <w:pPr>
        <w:ind w:left="1440" w:hanging="360"/>
      </w:pPr>
      <w:rPr>
        <w:rFonts w:ascii="Courier New" w:hAnsi="Courier New" w:hint="default"/>
      </w:rPr>
    </w:lvl>
    <w:lvl w:ilvl="2" w:tplc="20FCC10E">
      <w:start w:val="1"/>
      <w:numFmt w:val="bullet"/>
      <w:lvlText w:val=""/>
      <w:lvlJc w:val="left"/>
      <w:pPr>
        <w:ind w:left="2160" w:hanging="360"/>
      </w:pPr>
      <w:rPr>
        <w:rFonts w:ascii="Wingdings" w:hAnsi="Wingdings" w:hint="default"/>
      </w:rPr>
    </w:lvl>
    <w:lvl w:ilvl="3" w:tplc="BC9C3020">
      <w:start w:val="1"/>
      <w:numFmt w:val="bullet"/>
      <w:lvlText w:val=""/>
      <w:lvlJc w:val="left"/>
      <w:pPr>
        <w:ind w:left="2880" w:hanging="360"/>
      </w:pPr>
      <w:rPr>
        <w:rFonts w:ascii="Symbol" w:hAnsi="Symbol" w:hint="default"/>
      </w:rPr>
    </w:lvl>
    <w:lvl w:ilvl="4" w:tplc="A97ED560">
      <w:start w:val="1"/>
      <w:numFmt w:val="bullet"/>
      <w:lvlText w:val="o"/>
      <w:lvlJc w:val="left"/>
      <w:pPr>
        <w:ind w:left="3600" w:hanging="360"/>
      </w:pPr>
      <w:rPr>
        <w:rFonts w:ascii="Courier New" w:hAnsi="Courier New" w:hint="default"/>
      </w:rPr>
    </w:lvl>
    <w:lvl w:ilvl="5" w:tplc="6A8CE354">
      <w:start w:val="1"/>
      <w:numFmt w:val="bullet"/>
      <w:lvlText w:val=""/>
      <w:lvlJc w:val="left"/>
      <w:pPr>
        <w:ind w:left="4320" w:hanging="360"/>
      </w:pPr>
      <w:rPr>
        <w:rFonts w:ascii="Wingdings" w:hAnsi="Wingdings" w:hint="default"/>
      </w:rPr>
    </w:lvl>
    <w:lvl w:ilvl="6" w:tplc="AFA6F006">
      <w:start w:val="1"/>
      <w:numFmt w:val="bullet"/>
      <w:lvlText w:val=""/>
      <w:lvlJc w:val="left"/>
      <w:pPr>
        <w:ind w:left="5040" w:hanging="360"/>
      </w:pPr>
      <w:rPr>
        <w:rFonts w:ascii="Symbol" w:hAnsi="Symbol" w:hint="default"/>
      </w:rPr>
    </w:lvl>
    <w:lvl w:ilvl="7" w:tplc="BC627090">
      <w:start w:val="1"/>
      <w:numFmt w:val="bullet"/>
      <w:lvlText w:val="o"/>
      <w:lvlJc w:val="left"/>
      <w:pPr>
        <w:ind w:left="5760" w:hanging="360"/>
      </w:pPr>
      <w:rPr>
        <w:rFonts w:ascii="Courier New" w:hAnsi="Courier New" w:hint="default"/>
      </w:rPr>
    </w:lvl>
    <w:lvl w:ilvl="8" w:tplc="A21ED112">
      <w:start w:val="1"/>
      <w:numFmt w:val="bullet"/>
      <w:lvlText w:val=""/>
      <w:lvlJc w:val="left"/>
      <w:pPr>
        <w:ind w:left="6480" w:hanging="360"/>
      </w:pPr>
      <w:rPr>
        <w:rFonts w:ascii="Wingdings" w:hAnsi="Wingdings" w:hint="default"/>
      </w:rPr>
    </w:lvl>
  </w:abstractNum>
  <w:abstractNum w:abstractNumId="41" w15:restartNumberingAfterBreak="0">
    <w:nsid w:val="74A92623"/>
    <w:multiLevelType w:val="hybridMultilevel"/>
    <w:tmpl w:val="FFFFFFFF"/>
    <w:lvl w:ilvl="0" w:tplc="545EFF3E">
      <w:start w:val="1"/>
      <w:numFmt w:val="bullet"/>
      <w:lvlText w:val="-"/>
      <w:lvlJc w:val="left"/>
      <w:pPr>
        <w:ind w:left="720" w:hanging="360"/>
      </w:pPr>
      <w:rPr>
        <w:rFonts w:ascii="Calibri" w:hAnsi="Calibri" w:hint="default"/>
      </w:rPr>
    </w:lvl>
    <w:lvl w:ilvl="1" w:tplc="7E448030">
      <w:start w:val="1"/>
      <w:numFmt w:val="bullet"/>
      <w:lvlText w:val="o"/>
      <w:lvlJc w:val="left"/>
      <w:pPr>
        <w:ind w:left="1440" w:hanging="360"/>
      </w:pPr>
      <w:rPr>
        <w:rFonts w:ascii="Courier New" w:hAnsi="Courier New" w:hint="default"/>
      </w:rPr>
    </w:lvl>
    <w:lvl w:ilvl="2" w:tplc="46A47EAC">
      <w:start w:val="1"/>
      <w:numFmt w:val="bullet"/>
      <w:lvlText w:val=""/>
      <w:lvlJc w:val="left"/>
      <w:pPr>
        <w:ind w:left="2160" w:hanging="360"/>
      </w:pPr>
      <w:rPr>
        <w:rFonts w:ascii="Wingdings" w:hAnsi="Wingdings" w:hint="default"/>
      </w:rPr>
    </w:lvl>
    <w:lvl w:ilvl="3" w:tplc="16F62BF6">
      <w:start w:val="1"/>
      <w:numFmt w:val="bullet"/>
      <w:lvlText w:val=""/>
      <w:lvlJc w:val="left"/>
      <w:pPr>
        <w:ind w:left="2880" w:hanging="360"/>
      </w:pPr>
      <w:rPr>
        <w:rFonts w:ascii="Symbol" w:hAnsi="Symbol" w:hint="default"/>
      </w:rPr>
    </w:lvl>
    <w:lvl w:ilvl="4" w:tplc="E3C0CB62">
      <w:start w:val="1"/>
      <w:numFmt w:val="bullet"/>
      <w:lvlText w:val="o"/>
      <w:lvlJc w:val="left"/>
      <w:pPr>
        <w:ind w:left="3600" w:hanging="360"/>
      </w:pPr>
      <w:rPr>
        <w:rFonts w:ascii="Courier New" w:hAnsi="Courier New" w:hint="default"/>
      </w:rPr>
    </w:lvl>
    <w:lvl w:ilvl="5" w:tplc="FE48D5A4">
      <w:start w:val="1"/>
      <w:numFmt w:val="bullet"/>
      <w:lvlText w:val=""/>
      <w:lvlJc w:val="left"/>
      <w:pPr>
        <w:ind w:left="4320" w:hanging="360"/>
      </w:pPr>
      <w:rPr>
        <w:rFonts w:ascii="Wingdings" w:hAnsi="Wingdings" w:hint="default"/>
      </w:rPr>
    </w:lvl>
    <w:lvl w:ilvl="6" w:tplc="6DCE1094">
      <w:start w:val="1"/>
      <w:numFmt w:val="bullet"/>
      <w:lvlText w:val=""/>
      <w:lvlJc w:val="left"/>
      <w:pPr>
        <w:ind w:left="5040" w:hanging="360"/>
      </w:pPr>
      <w:rPr>
        <w:rFonts w:ascii="Symbol" w:hAnsi="Symbol" w:hint="default"/>
      </w:rPr>
    </w:lvl>
    <w:lvl w:ilvl="7" w:tplc="3ECA4A62">
      <w:start w:val="1"/>
      <w:numFmt w:val="bullet"/>
      <w:lvlText w:val="o"/>
      <w:lvlJc w:val="left"/>
      <w:pPr>
        <w:ind w:left="5760" w:hanging="360"/>
      </w:pPr>
      <w:rPr>
        <w:rFonts w:ascii="Courier New" w:hAnsi="Courier New" w:hint="default"/>
      </w:rPr>
    </w:lvl>
    <w:lvl w:ilvl="8" w:tplc="FA0EB824">
      <w:start w:val="1"/>
      <w:numFmt w:val="bullet"/>
      <w:lvlText w:val=""/>
      <w:lvlJc w:val="left"/>
      <w:pPr>
        <w:ind w:left="6480" w:hanging="360"/>
      </w:pPr>
      <w:rPr>
        <w:rFonts w:ascii="Wingdings" w:hAnsi="Wingdings" w:hint="default"/>
      </w:rPr>
    </w:lvl>
  </w:abstractNum>
  <w:abstractNum w:abstractNumId="42" w15:restartNumberingAfterBreak="0">
    <w:nsid w:val="7AA8C917"/>
    <w:multiLevelType w:val="hybridMultilevel"/>
    <w:tmpl w:val="FFFFFFFF"/>
    <w:lvl w:ilvl="0" w:tplc="0AB6639E">
      <w:start w:val="1"/>
      <w:numFmt w:val="bullet"/>
      <w:lvlText w:val=""/>
      <w:lvlJc w:val="left"/>
      <w:pPr>
        <w:ind w:left="720" w:hanging="360"/>
      </w:pPr>
      <w:rPr>
        <w:rFonts w:ascii="Symbol" w:hAnsi="Symbol" w:hint="default"/>
      </w:rPr>
    </w:lvl>
    <w:lvl w:ilvl="1" w:tplc="2EC6B102">
      <w:start w:val="1"/>
      <w:numFmt w:val="bullet"/>
      <w:lvlText w:val="-"/>
      <w:lvlJc w:val="left"/>
      <w:pPr>
        <w:ind w:left="1440" w:hanging="360"/>
      </w:pPr>
      <w:rPr>
        <w:rFonts w:ascii="Calibri" w:hAnsi="Calibri" w:hint="default"/>
      </w:rPr>
    </w:lvl>
    <w:lvl w:ilvl="2" w:tplc="4218E84C">
      <w:start w:val="1"/>
      <w:numFmt w:val="bullet"/>
      <w:lvlText w:val=""/>
      <w:lvlJc w:val="left"/>
      <w:pPr>
        <w:ind w:left="2160" w:hanging="360"/>
      </w:pPr>
      <w:rPr>
        <w:rFonts w:ascii="Wingdings" w:hAnsi="Wingdings" w:hint="default"/>
      </w:rPr>
    </w:lvl>
    <w:lvl w:ilvl="3" w:tplc="2E364F08">
      <w:start w:val="1"/>
      <w:numFmt w:val="bullet"/>
      <w:lvlText w:val=""/>
      <w:lvlJc w:val="left"/>
      <w:pPr>
        <w:ind w:left="2880" w:hanging="360"/>
      </w:pPr>
      <w:rPr>
        <w:rFonts w:ascii="Symbol" w:hAnsi="Symbol" w:hint="default"/>
      </w:rPr>
    </w:lvl>
    <w:lvl w:ilvl="4" w:tplc="79D08920">
      <w:start w:val="1"/>
      <w:numFmt w:val="bullet"/>
      <w:lvlText w:val="o"/>
      <w:lvlJc w:val="left"/>
      <w:pPr>
        <w:ind w:left="3600" w:hanging="360"/>
      </w:pPr>
      <w:rPr>
        <w:rFonts w:ascii="Courier New" w:hAnsi="Courier New" w:hint="default"/>
      </w:rPr>
    </w:lvl>
    <w:lvl w:ilvl="5" w:tplc="062AD454">
      <w:start w:val="1"/>
      <w:numFmt w:val="bullet"/>
      <w:lvlText w:val=""/>
      <w:lvlJc w:val="left"/>
      <w:pPr>
        <w:ind w:left="4320" w:hanging="360"/>
      </w:pPr>
      <w:rPr>
        <w:rFonts w:ascii="Wingdings" w:hAnsi="Wingdings" w:hint="default"/>
      </w:rPr>
    </w:lvl>
    <w:lvl w:ilvl="6" w:tplc="5C8E4DCC">
      <w:start w:val="1"/>
      <w:numFmt w:val="bullet"/>
      <w:lvlText w:val=""/>
      <w:lvlJc w:val="left"/>
      <w:pPr>
        <w:ind w:left="5040" w:hanging="360"/>
      </w:pPr>
      <w:rPr>
        <w:rFonts w:ascii="Symbol" w:hAnsi="Symbol" w:hint="default"/>
      </w:rPr>
    </w:lvl>
    <w:lvl w:ilvl="7" w:tplc="24C063D4">
      <w:start w:val="1"/>
      <w:numFmt w:val="bullet"/>
      <w:lvlText w:val="o"/>
      <w:lvlJc w:val="left"/>
      <w:pPr>
        <w:ind w:left="5760" w:hanging="360"/>
      </w:pPr>
      <w:rPr>
        <w:rFonts w:ascii="Courier New" w:hAnsi="Courier New" w:hint="default"/>
      </w:rPr>
    </w:lvl>
    <w:lvl w:ilvl="8" w:tplc="1DA6B542">
      <w:start w:val="1"/>
      <w:numFmt w:val="bullet"/>
      <w:lvlText w:val=""/>
      <w:lvlJc w:val="left"/>
      <w:pPr>
        <w:ind w:left="6480" w:hanging="360"/>
      </w:pPr>
      <w:rPr>
        <w:rFonts w:ascii="Wingdings" w:hAnsi="Wingdings" w:hint="default"/>
      </w:rPr>
    </w:lvl>
  </w:abstractNum>
  <w:abstractNum w:abstractNumId="43" w15:restartNumberingAfterBreak="0">
    <w:nsid w:val="7AD7E051"/>
    <w:multiLevelType w:val="hybridMultilevel"/>
    <w:tmpl w:val="FFFFFFFF"/>
    <w:lvl w:ilvl="0" w:tplc="AF2A69FA">
      <w:start w:val="1"/>
      <w:numFmt w:val="bullet"/>
      <w:lvlText w:val="-"/>
      <w:lvlJc w:val="left"/>
      <w:pPr>
        <w:ind w:left="720" w:hanging="360"/>
      </w:pPr>
      <w:rPr>
        <w:rFonts w:ascii="Calibri" w:hAnsi="Calibri" w:hint="default"/>
      </w:rPr>
    </w:lvl>
    <w:lvl w:ilvl="1" w:tplc="3E324D06">
      <w:start w:val="1"/>
      <w:numFmt w:val="bullet"/>
      <w:lvlText w:val="o"/>
      <w:lvlJc w:val="left"/>
      <w:pPr>
        <w:ind w:left="1440" w:hanging="360"/>
      </w:pPr>
      <w:rPr>
        <w:rFonts w:ascii="Courier New" w:hAnsi="Courier New" w:hint="default"/>
      </w:rPr>
    </w:lvl>
    <w:lvl w:ilvl="2" w:tplc="3B64D294">
      <w:start w:val="1"/>
      <w:numFmt w:val="bullet"/>
      <w:lvlText w:val=""/>
      <w:lvlJc w:val="left"/>
      <w:pPr>
        <w:ind w:left="2160" w:hanging="360"/>
      </w:pPr>
      <w:rPr>
        <w:rFonts w:ascii="Wingdings" w:hAnsi="Wingdings" w:hint="default"/>
      </w:rPr>
    </w:lvl>
    <w:lvl w:ilvl="3" w:tplc="325A34B6">
      <w:start w:val="1"/>
      <w:numFmt w:val="bullet"/>
      <w:lvlText w:val=""/>
      <w:lvlJc w:val="left"/>
      <w:pPr>
        <w:ind w:left="2880" w:hanging="360"/>
      </w:pPr>
      <w:rPr>
        <w:rFonts w:ascii="Symbol" w:hAnsi="Symbol" w:hint="default"/>
      </w:rPr>
    </w:lvl>
    <w:lvl w:ilvl="4" w:tplc="8CD448F6">
      <w:start w:val="1"/>
      <w:numFmt w:val="bullet"/>
      <w:lvlText w:val="o"/>
      <w:lvlJc w:val="left"/>
      <w:pPr>
        <w:ind w:left="3600" w:hanging="360"/>
      </w:pPr>
      <w:rPr>
        <w:rFonts w:ascii="Courier New" w:hAnsi="Courier New" w:hint="default"/>
      </w:rPr>
    </w:lvl>
    <w:lvl w:ilvl="5" w:tplc="74823EE2">
      <w:start w:val="1"/>
      <w:numFmt w:val="bullet"/>
      <w:lvlText w:val=""/>
      <w:lvlJc w:val="left"/>
      <w:pPr>
        <w:ind w:left="4320" w:hanging="360"/>
      </w:pPr>
      <w:rPr>
        <w:rFonts w:ascii="Wingdings" w:hAnsi="Wingdings" w:hint="default"/>
      </w:rPr>
    </w:lvl>
    <w:lvl w:ilvl="6" w:tplc="C9E04894">
      <w:start w:val="1"/>
      <w:numFmt w:val="bullet"/>
      <w:lvlText w:val=""/>
      <w:lvlJc w:val="left"/>
      <w:pPr>
        <w:ind w:left="5040" w:hanging="360"/>
      </w:pPr>
      <w:rPr>
        <w:rFonts w:ascii="Symbol" w:hAnsi="Symbol" w:hint="default"/>
      </w:rPr>
    </w:lvl>
    <w:lvl w:ilvl="7" w:tplc="AC4A24E0">
      <w:start w:val="1"/>
      <w:numFmt w:val="bullet"/>
      <w:lvlText w:val="o"/>
      <w:lvlJc w:val="left"/>
      <w:pPr>
        <w:ind w:left="5760" w:hanging="360"/>
      </w:pPr>
      <w:rPr>
        <w:rFonts w:ascii="Courier New" w:hAnsi="Courier New" w:hint="default"/>
      </w:rPr>
    </w:lvl>
    <w:lvl w:ilvl="8" w:tplc="2B445EDE">
      <w:start w:val="1"/>
      <w:numFmt w:val="bullet"/>
      <w:lvlText w:val=""/>
      <w:lvlJc w:val="left"/>
      <w:pPr>
        <w:ind w:left="6480" w:hanging="360"/>
      </w:pPr>
      <w:rPr>
        <w:rFonts w:ascii="Wingdings" w:hAnsi="Wingdings" w:hint="default"/>
      </w:rPr>
    </w:lvl>
  </w:abstractNum>
  <w:abstractNum w:abstractNumId="44" w15:restartNumberingAfterBreak="0">
    <w:nsid w:val="7DF168C1"/>
    <w:multiLevelType w:val="hybridMultilevel"/>
    <w:tmpl w:val="AE407406"/>
    <w:lvl w:ilvl="0" w:tplc="7DEE91BE">
      <w:start w:val="1"/>
      <w:numFmt w:val="bullet"/>
      <w:lvlText w:val=""/>
      <w:lvlJc w:val="left"/>
      <w:pPr>
        <w:ind w:left="720" w:hanging="360"/>
      </w:pPr>
      <w:rPr>
        <w:rFonts w:ascii="Symbol" w:hAnsi="Symbol" w:hint="default"/>
      </w:rPr>
    </w:lvl>
    <w:lvl w:ilvl="1" w:tplc="8C785502">
      <w:start w:val="1"/>
      <w:numFmt w:val="bullet"/>
      <w:lvlText w:val="-"/>
      <w:lvlJc w:val="left"/>
      <w:pPr>
        <w:ind w:left="1440" w:hanging="360"/>
      </w:pPr>
      <w:rPr>
        <w:rFonts w:ascii="Calibri" w:hAnsi="Calibri" w:hint="default"/>
      </w:rPr>
    </w:lvl>
    <w:lvl w:ilvl="2" w:tplc="8DFC9E5E">
      <w:start w:val="1"/>
      <w:numFmt w:val="bullet"/>
      <w:lvlText w:val=""/>
      <w:lvlJc w:val="left"/>
      <w:pPr>
        <w:ind w:left="2160" w:hanging="360"/>
      </w:pPr>
      <w:rPr>
        <w:rFonts w:ascii="Wingdings" w:hAnsi="Wingdings" w:hint="default"/>
      </w:rPr>
    </w:lvl>
    <w:lvl w:ilvl="3" w:tplc="22F0A83A">
      <w:start w:val="1"/>
      <w:numFmt w:val="bullet"/>
      <w:lvlText w:val=""/>
      <w:lvlJc w:val="left"/>
      <w:pPr>
        <w:ind w:left="2880" w:hanging="360"/>
      </w:pPr>
      <w:rPr>
        <w:rFonts w:ascii="Symbol" w:hAnsi="Symbol" w:hint="default"/>
      </w:rPr>
    </w:lvl>
    <w:lvl w:ilvl="4" w:tplc="6B180658">
      <w:start w:val="1"/>
      <w:numFmt w:val="bullet"/>
      <w:lvlText w:val="o"/>
      <w:lvlJc w:val="left"/>
      <w:pPr>
        <w:ind w:left="3600" w:hanging="360"/>
      </w:pPr>
      <w:rPr>
        <w:rFonts w:ascii="Courier New" w:hAnsi="Courier New" w:hint="default"/>
      </w:rPr>
    </w:lvl>
    <w:lvl w:ilvl="5" w:tplc="9E547FA6">
      <w:start w:val="1"/>
      <w:numFmt w:val="bullet"/>
      <w:lvlText w:val=""/>
      <w:lvlJc w:val="left"/>
      <w:pPr>
        <w:ind w:left="4320" w:hanging="360"/>
      </w:pPr>
      <w:rPr>
        <w:rFonts w:ascii="Wingdings" w:hAnsi="Wingdings" w:hint="default"/>
      </w:rPr>
    </w:lvl>
    <w:lvl w:ilvl="6" w:tplc="6B20256C">
      <w:start w:val="1"/>
      <w:numFmt w:val="bullet"/>
      <w:lvlText w:val=""/>
      <w:lvlJc w:val="left"/>
      <w:pPr>
        <w:ind w:left="5040" w:hanging="360"/>
      </w:pPr>
      <w:rPr>
        <w:rFonts w:ascii="Symbol" w:hAnsi="Symbol" w:hint="default"/>
      </w:rPr>
    </w:lvl>
    <w:lvl w:ilvl="7" w:tplc="E65013C2">
      <w:start w:val="1"/>
      <w:numFmt w:val="bullet"/>
      <w:lvlText w:val="o"/>
      <w:lvlJc w:val="left"/>
      <w:pPr>
        <w:ind w:left="5760" w:hanging="360"/>
      </w:pPr>
      <w:rPr>
        <w:rFonts w:ascii="Courier New" w:hAnsi="Courier New" w:hint="default"/>
      </w:rPr>
    </w:lvl>
    <w:lvl w:ilvl="8" w:tplc="406A6CB2">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39"/>
  </w:num>
  <w:num w:numId="4">
    <w:abstractNumId w:val="25"/>
  </w:num>
  <w:num w:numId="5">
    <w:abstractNumId w:val="37"/>
  </w:num>
  <w:num w:numId="6">
    <w:abstractNumId w:val="6"/>
  </w:num>
  <w:num w:numId="7">
    <w:abstractNumId w:val="36"/>
  </w:num>
  <w:num w:numId="8">
    <w:abstractNumId w:val="1"/>
  </w:num>
  <w:num w:numId="9">
    <w:abstractNumId w:val="2"/>
  </w:num>
  <w:num w:numId="10">
    <w:abstractNumId w:val="11"/>
  </w:num>
  <w:num w:numId="11">
    <w:abstractNumId w:val="32"/>
  </w:num>
  <w:num w:numId="12">
    <w:abstractNumId w:val="26"/>
  </w:num>
  <w:num w:numId="13">
    <w:abstractNumId w:val="14"/>
  </w:num>
  <w:num w:numId="14">
    <w:abstractNumId w:val="38"/>
  </w:num>
  <w:num w:numId="15">
    <w:abstractNumId w:val="23"/>
  </w:num>
  <w:num w:numId="16">
    <w:abstractNumId w:val="41"/>
  </w:num>
  <w:num w:numId="17">
    <w:abstractNumId w:val="33"/>
  </w:num>
  <w:num w:numId="18">
    <w:abstractNumId w:val="40"/>
  </w:num>
  <w:num w:numId="19">
    <w:abstractNumId w:val="4"/>
  </w:num>
  <w:num w:numId="20">
    <w:abstractNumId w:val="43"/>
  </w:num>
  <w:num w:numId="21">
    <w:abstractNumId w:val="19"/>
  </w:num>
  <w:num w:numId="22">
    <w:abstractNumId w:val="8"/>
  </w:num>
  <w:num w:numId="23">
    <w:abstractNumId w:val="18"/>
  </w:num>
  <w:num w:numId="24">
    <w:abstractNumId w:val="34"/>
  </w:num>
  <w:num w:numId="25">
    <w:abstractNumId w:val="13"/>
  </w:num>
  <w:num w:numId="26">
    <w:abstractNumId w:val="21"/>
  </w:num>
  <w:num w:numId="27">
    <w:abstractNumId w:val="7"/>
  </w:num>
  <w:num w:numId="28">
    <w:abstractNumId w:val="15"/>
  </w:num>
  <w:num w:numId="29">
    <w:abstractNumId w:val="42"/>
  </w:num>
  <w:num w:numId="30">
    <w:abstractNumId w:val="29"/>
  </w:num>
  <w:num w:numId="31">
    <w:abstractNumId w:val="35"/>
  </w:num>
  <w:num w:numId="32">
    <w:abstractNumId w:val="44"/>
  </w:num>
  <w:num w:numId="33">
    <w:abstractNumId w:val="3"/>
  </w:num>
  <w:num w:numId="34">
    <w:abstractNumId w:val="0"/>
  </w:num>
  <w:num w:numId="35">
    <w:abstractNumId w:val="20"/>
  </w:num>
  <w:num w:numId="36">
    <w:abstractNumId w:val="12"/>
  </w:num>
  <w:num w:numId="37">
    <w:abstractNumId w:val="22"/>
  </w:num>
  <w:num w:numId="38">
    <w:abstractNumId w:val="5"/>
  </w:num>
  <w:num w:numId="39">
    <w:abstractNumId w:val="10"/>
  </w:num>
  <w:num w:numId="40">
    <w:abstractNumId w:val="31"/>
  </w:num>
  <w:num w:numId="41">
    <w:abstractNumId w:val="28"/>
  </w:num>
  <w:num w:numId="42">
    <w:abstractNumId w:val="24"/>
  </w:num>
  <w:num w:numId="43">
    <w:abstractNumId w:val="27"/>
  </w:num>
  <w:num w:numId="44">
    <w:abstractNumId w:val="30"/>
  </w:num>
  <w:num w:numId="45">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00"/>
  <w:displayHorizontalDrawingGridEvery w:val="2"/>
  <w:displayVerticalDrawingGridEvery w:val="2"/>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7D3"/>
    <w:rsid w:val="000003D2"/>
    <w:rsid w:val="00001A71"/>
    <w:rsid w:val="00002976"/>
    <w:rsid w:val="0000385E"/>
    <w:rsid w:val="00004077"/>
    <w:rsid w:val="00004DB0"/>
    <w:rsid w:val="00006408"/>
    <w:rsid w:val="00006891"/>
    <w:rsid w:val="00007690"/>
    <w:rsid w:val="00010FC1"/>
    <w:rsid w:val="00013300"/>
    <w:rsid w:val="00015BE3"/>
    <w:rsid w:val="00015CF9"/>
    <w:rsid w:val="00016C3D"/>
    <w:rsid w:val="00017F33"/>
    <w:rsid w:val="0002009A"/>
    <w:rsid w:val="0002224C"/>
    <w:rsid w:val="0002236D"/>
    <w:rsid w:val="00022C7B"/>
    <w:rsid w:val="00022C9C"/>
    <w:rsid w:val="00022FDA"/>
    <w:rsid w:val="00024880"/>
    <w:rsid w:val="00024D3B"/>
    <w:rsid w:val="0002546B"/>
    <w:rsid w:val="0002684D"/>
    <w:rsid w:val="00026D6D"/>
    <w:rsid w:val="00026FF5"/>
    <w:rsid w:val="000302DC"/>
    <w:rsid w:val="00030B03"/>
    <w:rsid w:val="0003215E"/>
    <w:rsid w:val="00032FB3"/>
    <w:rsid w:val="000338DA"/>
    <w:rsid w:val="00034F09"/>
    <w:rsid w:val="00036511"/>
    <w:rsid w:val="000366A5"/>
    <w:rsid w:val="00040145"/>
    <w:rsid w:val="00042721"/>
    <w:rsid w:val="00042AFE"/>
    <w:rsid w:val="00045468"/>
    <w:rsid w:val="00046066"/>
    <w:rsid w:val="00047A55"/>
    <w:rsid w:val="00050DAF"/>
    <w:rsid w:val="00050DEC"/>
    <w:rsid w:val="00050E2A"/>
    <w:rsid w:val="000525EB"/>
    <w:rsid w:val="000532DC"/>
    <w:rsid w:val="00054860"/>
    <w:rsid w:val="00057462"/>
    <w:rsid w:val="000577D3"/>
    <w:rsid w:val="00060099"/>
    <w:rsid w:val="0006053C"/>
    <w:rsid w:val="00060CBA"/>
    <w:rsid w:val="00061438"/>
    <w:rsid w:val="00061BF5"/>
    <w:rsid w:val="00066EBF"/>
    <w:rsid w:val="00066F51"/>
    <w:rsid w:val="00070216"/>
    <w:rsid w:val="000709AA"/>
    <w:rsid w:val="00071C5F"/>
    <w:rsid w:val="00071DC5"/>
    <w:rsid w:val="000728E6"/>
    <w:rsid w:val="00073481"/>
    <w:rsid w:val="00074F46"/>
    <w:rsid w:val="0007733C"/>
    <w:rsid w:val="000779EA"/>
    <w:rsid w:val="000802EE"/>
    <w:rsid w:val="00080699"/>
    <w:rsid w:val="00080AB8"/>
    <w:rsid w:val="00080E10"/>
    <w:rsid w:val="0008396A"/>
    <w:rsid w:val="000844AF"/>
    <w:rsid w:val="00084795"/>
    <w:rsid w:val="00086D35"/>
    <w:rsid w:val="00086DF8"/>
    <w:rsid w:val="000902F5"/>
    <w:rsid w:val="000955B4"/>
    <w:rsid w:val="000A0375"/>
    <w:rsid w:val="000A28F9"/>
    <w:rsid w:val="000A35B8"/>
    <w:rsid w:val="000A3D6A"/>
    <w:rsid w:val="000A44FB"/>
    <w:rsid w:val="000A491F"/>
    <w:rsid w:val="000A51B6"/>
    <w:rsid w:val="000A5BAA"/>
    <w:rsid w:val="000A6BD0"/>
    <w:rsid w:val="000A735A"/>
    <w:rsid w:val="000B32DF"/>
    <w:rsid w:val="000B3524"/>
    <w:rsid w:val="000B7096"/>
    <w:rsid w:val="000C1059"/>
    <w:rsid w:val="000C234D"/>
    <w:rsid w:val="000C2FBE"/>
    <w:rsid w:val="000C5322"/>
    <w:rsid w:val="000D072C"/>
    <w:rsid w:val="000D34C3"/>
    <w:rsid w:val="000D6D35"/>
    <w:rsid w:val="000D7334"/>
    <w:rsid w:val="000D73DE"/>
    <w:rsid w:val="000E00AA"/>
    <w:rsid w:val="000E19E5"/>
    <w:rsid w:val="000E2E91"/>
    <w:rsid w:val="000E445F"/>
    <w:rsid w:val="000E4792"/>
    <w:rsid w:val="000E4E24"/>
    <w:rsid w:val="000E4E78"/>
    <w:rsid w:val="000E601D"/>
    <w:rsid w:val="000E636B"/>
    <w:rsid w:val="000E68C9"/>
    <w:rsid w:val="000F0D63"/>
    <w:rsid w:val="000F15B1"/>
    <w:rsid w:val="000F21B6"/>
    <w:rsid w:val="000F2E0B"/>
    <w:rsid w:val="000F3924"/>
    <w:rsid w:val="000F3BCD"/>
    <w:rsid w:val="000F5B09"/>
    <w:rsid w:val="000F5FD1"/>
    <w:rsid w:val="000F6606"/>
    <w:rsid w:val="000F6B33"/>
    <w:rsid w:val="000F6ECF"/>
    <w:rsid w:val="000F77D3"/>
    <w:rsid w:val="00100A64"/>
    <w:rsid w:val="00101C3A"/>
    <w:rsid w:val="0010273C"/>
    <w:rsid w:val="00102B15"/>
    <w:rsid w:val="0010599C"/>
    <w:rsid w:val="00105BC5"/>
    <w:rsid w:val="0010693B"/>
    <w:rsid w:val="00107A3A"/>
    <w:rsid w:val="001128B1"/>
    <w:rsid w:val="00116B09"/>
    <w:rsid w:val="001177AA"/>
    <w:rsid w:val="00117D23"/>
    <w:rsid w:val="00121634"/>
    <w:rsid w:val="00121E29"/>
    <w:rsid w:val="001232A3"/>
    <w:rsid w:val="001243C2"/>
    <w:rsid w:val="0012493A"/>
    <w:rsid w:val="0012637A"/>
    <w:rsid w:val="001267F0"/>
    <w:rsid w:val="00126A75"/>
    <w:rsid w:val="00127573"/>
    <w:rsid w:val="00131285"/>
    <w:rsid w:val="00131CD3"/>
    <w:rsid w:val="0013395E"/>
    <w:rsid w:val="00135405"/>
    <w:rsid w:val="00140AE8"/>
    <w:rsid w:val="00146323"/>
    <w:rsid w:val="00146838"/>
    <w:rsid w:val="00146FF9"/>
    <w:rsid w:val="00150AA7"/>
    <w:rsid w:val="00150CFF"/>
    <w:rsid w:val="001512EB"/>
    <w:rsid w:val="00151D42"/>
    <w:rsid w:val="00151D9D"/>
    <w:rsid w:val="00152905"/>
    <w:rsid w:val="00154168"/>
    <w:rsid w:val="001546D6"/>
    <w:rsid w:val="00156A58"/>
    <w:rsid w:val="00160469"/>
    <w:rsid w:val="0016069D"/>
    <w:rsid w:val="00162653"/>
    <w:rsid w:val="00163830"/>
    <w:rsid w:val="0016394C"/>
    <w:rsid w:val="00164690"/>
    <w:rsid w:val="00166642"/>
    <w:rsid w:val="0016773A"/>
    <w:rsid w:val="00170041"/>
    <w:rsid w:val="00171C04"/>
    <w:rsid w:val="00171D73"/>
    <w:rsid w:val="00172602"/>
    <w:rsid w:val="0017492C"/>
    <w:rsid w:val="00174A5A"/>
    <w:rsid w:val="0017641B"/>
    <w:rsid w:val="00176E70"/>
    <w:rsid w:val="001820F7"/>
    <w:rsid w:val="0018311C"/>
    <w:rsid w:val="0018604E"/>
    <w:rsid w:val="00186ED0"/>
    <w:rsid w:val="00187E16"/>
    <w:rsid w:val="00190C17"/>
    <w:rsid w:val="00192454"/>
    <w:rsid w:val="001935C4"/>
    <w:rsid w:val="00194508"/>
    <w:rsid w:val="00194E7C"/>
    <w:rsid w:val="001A01D2"/>
    <w:rsid w:val="001A0325"/>
    <w:rsid w:val="001A2B6F"/>
    <w:rsid w:val="001A497F"/>
    <w:rsid w:val="001A5471"/>
    <w:rsid w:val="001A60D2"/>
    <w:rsid w:val="001A6AE9"/>
    <w:rsid w:val="001A6B49"/>
    <w:rsid w:val="001A7077"/>
    <w:rsid w:val="001B0510"/>
    <w:rsid w:val="001B0EC7"/>
    <w:rsid w:val="001B2E60"/>
    <w:rsid w:val="001B4209"/>
    <w:rsid w:val="001B59C4"/>
    <w:rsid w:val="001B7904"/>
    <w:rsid w:val="001B7A3D"/>
    <w:rsid w:val="001C026A"/>
    <w:rsid w:val="001C2DDE"/>
    <w:rsid w:val="001C465B"/>
    <w:rsid w:val="001C535D"/>
    <w:rsid w:val="001C6271"/>
    <w:rsid w:val="001C67E6"/>
    <w:rsid w:val="001C6FDE"/>
    <w:rsid w:val="001C7165"/>
    <w:rsid w:val="001C7783"/>
    <w:rsid w:val="001D0FCF"/>
    <w:rsid w:val="001D253D"/>
    <w:rsid w:val="001D27D8"/>
    <w:rsid w:val="001D4F01"/>
    <w:rsid w:val="001D5E43"/>
    <w:rsid w:val="001D6C31"/>
    <w:rsid w:val="001D7864"/>
    <w:rsid w:val="001E2470"/>
    <w:rsid w:val="001E2AC7"/>
    <w:rsid w:val="001E40DC"/>
    <w:rsid w:val="001E4F3E"/>
    <w:rsid w:val="001E7168"/>
    <w:rsid w:val="001F0D23"/>
    <w:rsid w:val="001F1B04"/>
    <w:rsid w:val="001F2F25"/>
    <w:rsid w:val="001F48D2"/>
    <w:rsid w:val="001F4CA9"/>
    <w:rsid w:val="001F5561"/>
    <w:rsid w:val="001F6EA3"/>
    <w:rsid w:val="00200F1B"/>
    <w:rsid w:val="00204725"/>
    <w:rsid w:val="00204CF9"/>
    <w:rsid w:val="00210A7B"/>
    <w:rsid w:val="0021457B"/>
    <w:rsid w:val="00217A3A"/>
    <w:rsid w:val="00220D7B"/>
    <w:rsid w:val="00221035"/>
    <w:rsid w:val="0022119C"/>
    <w:rsid w:val="00223BC3"/>
    <w:rsid w:val="002251DC"/>
    <w:rsid w:val="00225328"/>
    <w:rsid w:val="002270A6"/>
    <w:rsid w:val="0023099D"/>
    <w:rsid w:val="0023264A"/>
    <w:rsid w:val="0023348C"/>
    <w:rsid w:val="002370C0"/>
    <w:rsid w:val="00240E5C"/>
    <w:rsid w:val="0024146C"/>
    <w:rsid w:val="002415B0"/>
    <w:rsid w:val="0024328D"/>
    <w:rsid w:val="00243382"/>
    <w:rsid w:val="00243529"/>
    <w:rsid w:val="002442B5"/>
    <w:rsid w:val="00244790"/>
    <w:rsid w:val="00245287"/>
    <w:rsid w:val="0024593C"/>
    <w:rsid w:val="00246DFB"/>
    <w:rsid w:val="00250FE8"/>
    <w:rsid w:val="0025316B"/>
    <w:rsid w:val="002547E1"/>
    <w:rsid w:val="0025585C"/>
    <w:rsid w:val="00255B79"/>
    <w:rsid w:val="00256D9B"/>
    <w:rsid w:val="00257610"/>
    <w:rsid w:val="002578BA"/>
    <w:rsid w:val="0026094F"/>
    <w:rsid w:val="002638CC"/>
    <w:rsid w:val="002638F2"/>
    <w:rsid w:val="00265570"/>
    <w:rsid w:val="00267BBC"/>
    <w:rsid w:val="00270BC1"/>
    <w:rsid w:val="002716B7"/>
    <w:rsid w:val="002721E3"/>
    <w:rsid w:val="00272E44"/>
    <w:rsid w:val="002737B0"/>
    <w:rsid w:val="00273DAD"/>
    <w:rsid w:val="00274893"/>
    <w:rsid w:val="002768EC"/>
    <w:rsid w:val="002805DD"/>
    <w:rsid w:val="00280927"/>
    <w:rsid w:val="00281F03"/>
    <w:rsid w:val="00283F74"/>
    <w:rsid w:val="00284ADB"/>
    <w:rsid w:val="00284E1E"/>
    <w:rsid w:val="0028973F"/>
    <w:rsid w:val="002914AB"/>
    <w:rsid w:val="00291895"/>
    <w:rsid w:val="00292204"/>
    <w:rsid w:val="00295417"/>
    <w:rsid w:val="002973FF"/>
    <w:rsid w:val="002A1286"/>
    <w:rsid w:val="002A1E71"/>
    <w:rsid w:val="002A1E75"/>
    <w:rsid w:val="002A4A79"/>
    <w:rsid w:val="002A4C5E"/>
    <w:rsid w:val="002A7A38"/>
    <w:rsid w:val="002B009C"/>
    <w:rsid w:val="002B00CE"/>
    <w:rsid w:val="002B12DF"/>
    <w:rsid w:val="002B1A75"/>
    <w:rsid w:val="002B24BD"/>
    <w:rsid w:val="002B4431"/>
    <w:rsid w:val="002B4A21"/>
    <w:rsid w:val="002B4B1F"/>
    <w:rsid w:val="002B4B48"/>
    <w:rsid w:val="002B4CCA"/>
    <w:rsid w:val="002C0B48"/>
    <w:rsid w:val="002C0BD8"/>
    <w:rsid w:val="002C1093"/>
    <w:rsid w:val="002C39D5"/>
    <w:rsid w:val="002C5670"/>
    <w:rsid w:val="002C6578"/>
    <w:rsid w:val="002D1633"/>
    <w:rsid w:val="002D3C83"/>
    <w:rsid w:val="002D4839"/>
    <w:rsid w:val="002D4FBA"/>
    <w:rsid w:val="002D5D10"/>
    <w:rsid w:val="002D6757"/>
    <w:rsid w:val="002D7014"/>
    <w:rsid w:val="002E3356"/>
    <w:rsid w:val="002E3C0D"/>
    <w:rsid w:val="002E5370"/>
    <w:rsid w:val="002E5A7E"/>
    <w:rsid w:val="002F0CA6"/>
    <w:rsid w:val="002F15DD"/>
    <w:rsid w:val="002F18F7"/>
    <w:rsid w:val="002F1EA4"/>
    <w:rsid w:val="002F33AE"/>
    <w:rsid w:val="002F3D9A"/>
    <w:rsid w:val="002F4150"/>
    <w:rsid w:val="002F641A"/>
    <w:rsid w:val="002F6E50"/>
    <w:rsid w:val="002F7190"/>
    <w:rsid w:val="002F77CB"/>
    <w:rsid w:val="0030081C"/>
    <w:rsid w:val="0030120D"/>
    <w:rsid w:val="0030194E"/>
    <w:rsid w:val="00304ECA"/>
    <w:rsid w:val="00305E8E"/>
    <w:rsid w:val="00306714"/>
    <w:rsid w:val="00306A46"/>
    <w:rsid w:val="00307FF8"/>
    <w:rsid w:val="00310735"/>
    <w:rsid w:val="0031098E"/>
    <w:rsid w:val="0031201A"/>
    <w:rsid w:val="00314B9F"/>
    <w:rsid w:val="00315215"/>
    <w:rsid w:val="00315A7B"/>
    <w:rsid w:val="003176E6"/>
    <w:rsid w:val="00317C5B"/>
    <w:rsid w:val="00321703"/>
    <w:rsid w:val="003217F3"/>
    <w:rsid w:val="003219B7"/>
    <w:rsid w:val="00321DF8"/>
    <w:rsid w:val="003226B8"/>
    <w:rsid w:val="00323280"/>
    <w:rsid w:val="00323E44"/>
    <w:rsid w:val="003241B2"/>
    <w:rsid w:val="003247E8"/>
    <w:rsid w:val="00325D09"/>
    <w:rsid w:val="0032677E"/>
    <w:rsid w:val="00326CC1"/>
    <w:rsid w:val="00327AE0"/>
    <w:rsid w:val="00330E10"/>
    <w:rsid w:val="003321A7"/>
    <w:rsid w:val="00332284"/>
    <w:rsid w:val="003327E1"/>
    <w:rsid w:val="00334719"/>
    <w:rsid w:val="003348A0"/>
    <w:rsid w:val="00334B43"/>
    <w:rsid w:val="00335906"/>
    <w:rsid w:val="0033641C"/>
    <w:rsid w:val="0033701A"/>
    <w:rsid w:val="003377D0"/>
    <w:rsid w:val="00341B84"/>
    <w:rsid w:val="003436E8"/>
    <w:rsid w:val="00343C77"/>
    <w:rsid w:val="00344042"/>
    <w:rsid w:val="003459C3"/>
    <w:rsid w:val="00345CBD"/>
    <w:rsid w:val="00346A12"/>
    <w:rsid w:val="00347D65"/>
    <w:rsid w:val="003500B3"/>
    <w:rsid w:val="003501EF"/>
    <w:rsid w:val="0035131D"/>
    <w:rsid w:val="00351700"/>
    <w:rsid w:val="003517C6"/>
    <w:rsid w:val="003521F9"/>
    <w:rsid w:val="00352993"/>
    <w:rsid w:val="00352B09"/>
    <w:rsid w:val="00352BE0"/>
    <w:rsid w:val="00352D47"/>
    <w:rsid w:val="00355339"/>
    <w:rsid w:val="00355EA4"/>
    <w:rsid w:val="00357222"/>
    <w:rsid w:val="00357839"/>
    <w:rsid w:val="003579E2"/>
    <w:rsid w:val="00360789"/>
    <w:rsid w:val="00360BDC"/>
    <w:rsid w:val="003636C4"/>
    <w:rsid w:val="00363960"/>
    <w:rsid w:val="00365433"/>
    <w:rsid w:val="00365B2F"/>
    <w:rsid w:val="00366873"/>
    <w:rsid w:val="0036764D"/>
    <w:rsid w:val="003678F7"/>
    <w:rsid w:val="00367FB7"/>
    <w:rsid w:val="003702C4"/>
    <w:rsid w:val="003705E6"/>
    <w:rsid w:val="003733BD"/>
    <w:rsid w:val="003734A3"/>
    <w:rsid w:val="0037494A"/>
    <w:rsid w:val="003805CC"/>
    <w:rsid w:val="00381F11"/>
    <w:rsid w:val="00382F01"/>
    <w:rsid w:val="00383B58"/>
    <w:rsid w:val="00386402"/>
    <w:rsid w:val="003868F1"/>
    <w:rsid w:val="00386FFC"/>
    <w:rsid w:val="00387250"/>
    <w:rsid w:val="003909D3"/>
    <w:rsid w:val="003909EE"/>
    <w:rsid w:val="003915E6"/>
    <w:rsid w:val="00392DDB"/>
    <w:rsid w:val="00392E7D"/>
    <w:rsid w:val="00392F03"/>
    <w:rsid w:val="00394618"/>
    <w:rsid w:val="00394EF6"/>
    <w:rsid w:val="003954D6"/>
    <w:rsid w:val="003957F4"/>
    <w:rsid w:val="0039628D"/>
    <w:rsid w:val="00396752"/>
    <w:rsid w:val="003A003D"/>
    <w:rsid w:val="003A02F8"/>
    <w:rsid w:val="003A0625"/>
    <w:rsid w:val="003A0662"/>
    <w:rsid w:val="003A11B9"/>
    <w:rsid w:val="003A170B"/>
    <w:rsid w:val="003A1D46"/>
    <w:rsid w:val="003A66AC"/>
    <w:rsid w:val="003A7BFA"/>
    <w:rsid w:val="003B1436"/>
    <w:rsid w:val="003B1752"/>
    <w:rsid w:val="003B2D12"/>
    <w:rsid w:val="003B2EFF"/>
    <w:rsid w:val="003B3934"/>
    <w:rsid w:val="003B5598"/>
    <w:rsid w:val="003B69BD"/>
    <w:rsid w:val="003B7BCA"/>
    <w:rsid w:val="003C044A"/>
    <w:rsid w:val="003C0DFB"/>
    <w:rsid w:val="003C1E66"/>
    <w:rsid w:val="003C229B"/>
    <w:rsid w:val="003C2779"/>
    <w:rsid w:val="003C6ED0"/>
    <w:rsid w:val="003D11B6"/>
    <w:rsid w:val="003D2758"/>
    <w:rsid w:val="003D279D"/>
    <w:rsid w:val="003D27BD"/>
    <w:rsid w:val="003D2D7F"/>
    <w:rsid w:val="003D3D1E"/>
    <w:rsid w:val="003D498D"/>
    <w:rsid w:val="003D553B"/>
    <w:rsid w:val="003D6AE3"/>
    <w:rsid w:val="003D7546"/>
    <w:rsid w:val="003D79D1"/>
    <w:rsid w:val="003E2423"/>
    <w:rsid w:val="003E3A4E"/>
    <w:rsid w:val="003E4713"/>
    <w:rsid w:val="003E4DFC"/>
    <w:rsid w:val="003E6FEE"/>
    <w:rsid w:val="003E702A"/>
    <w:rsid w:val="003F1713"/>
    <w:rsid w:val="003F1865"/>
    <w:rsid w:val="003F26BD"/>
    <w:rsid w:val="003F2F3D"/>
    <w:rsid w:val="003F3378"/>
    <w:rsid w:val="003F3B05"/>
    <w:rsid w:val="003F45F9"/>
    <w:rsid w:val="003F4FEF"/>
    <w:rsid w:val="003F6126"/>
    <w:rsid w:val="003F75FD"/>
    <w:rsid w:val="0040104C"/>
    <w:rsid w:val="00402176"/>
    <w:rsid w:val="0040367F"/>
    <w:rsid w:val="00403863"/>
    <w:rsid w:val="00403C68"/>
    <w:rsid w:val="00404844"/>
    <w:rsid w:val="00406C2B"/>
    <w:rsid w:val="00411371"/>
    <w:rsid w:val="00411BA8"/>
    <w:rsid w:val="004152D1"/>
    <w:rsid w:val="00415A5B"/>
    <w:rsid w:val="00417008"/>
    <w:rsid w:val="00421AB5"/>
    <w:rsid w:val="00422049"/>
    <w:rsid w:val="00422318"/>
    <w:rsid w:val="004232A7"/>
    <w:rsid w:val="00423AB8"/>
    <w:rsid w:val="00424845"/>
    <w:rsid w:val="004254F5"/>
    <w:rsid w:val="0042627E"/>
    <w:rsid w:val="004272E3"/>
    <w:rsid w:val="004301BE"/>
    <w:rsid w:val="004332DF"/>
    <w:rsid w:val="00440EC6"/>
    <w:rsid w:val="004426C0"/>
    <w:rsid w:val="00445E89"/>
    <w:rsid w:val="00446BF5"/>
    <w:rsid w:val="004474D5"/>
    <w:rsid w:val="00452D34"/>
    <w:rsid w:val="00452DF5"/>
    <w:rsid w:val="00453FCC"/>
    <w:rsid w:val="00455494"/>
    <w:rsid w:val="00456BA1"/>
    <w:rsid w:val="004570CB"/>
    <w:rsid w:val="004575FB"/>
    <w:rsid w:val="00460964"/>
    <w:rsid w:val="00460D4B"/>
    <w:rsid w:val="00461491"/>
    <w:rsid w:val="004624B1"/>
    <w:rsid w:val="00464F93"/>
    <w:rsid w:val="00465BDF"/>
    <w:rsid w:val="004661F5"/>
    <w:rsid w:val="004713E2"/>
    <w:rsid w:val="00471885"/>
    <w:rsid w:val="004746F2"/>
    <w:rsid w:val="00476B43"/>
    <w:rsid w:val="00480D05"/>
    <w:rsid w:val="0048196A"/>
    <w:rsid w:val="00482588"/>
    <w:rsid w:val="00483057"/>
    <w:rsid w:val="004843DB"/>
    <w:rsid w:val="004854FB"/>
    <w:rsid w:val="004860A2"/>
    <w:rsid w:val="00487FBA"/>
    <w:rsid w:val="004919A2"/>
    <w:rsid w:val="00493693"/>
    <w:rsid w:val="00493801"/>
    <w:rsid w:val="00494402"/>
    <w:rsid w:val="00494BE0"/>
    <w:rsid w:val="00495750"/>
    <w:rsid w:val="004958E0"/>
    <w:rsid w:val="0049675D"/>
    <w:rsid w:val="004A03F7"/>
    <w:rsid w:val="004A14FB"/>
    <w:rsid w:val="004A23E4"/>
    <w:rsid w:val="004A3080"/>
    <w:rsid w:val="004A3D7A"/>
    <w:rsid w:val="004B07FC"/>
    <w:rsid w:val="004B2068"/>
    <w:rsid w:val="004B4243"/>
    <w:rsid w:val="004B4E91"/>
    <w:rsid w:val="004B67BB"/>
    <w:rsid w:val="004C133B"/>
    <w:rsid w:val="004C1D89"/>
    <w:rsid w:val="004C1FC2"/>
    <w:rsid w:val="004C2210"/>
    <w:rsid w:val="004C2FFC"/>
    <w:rsid w:val="004C46C9"/>
    <w:rsid w:val="004C694B"/>
    <w:rsid w:val="004D02BE"/>
    <w:rsid w:val="004D14CF"/>
    <w:rsid w:val="004D177B"/>
    <w:rsid w:val="004D3CBA"/>
    <w:rsid w:val="004D4D7B"/>
    <w:rsid w:val="004D5084"/>
    <w:rsid w:val="004D571F"/>
    <w:rsid w:val="004D6029"/>
    <w:rsid w:val="004D7F47"/>
    <w:rsid w:val="004E00EC"/>
    <w:rsid w:val="004E1C7B"/>
    <w:rsid w:val="004E5A36"/>
    <w:rsid w:val="004E7914"/>
    <w:rsid w:val="004E7F0E"/>
    <w:rsid w:val="004F0156"/>
    <w:rsid w:val="004F02AE"/>
    <w:rsid w:val="004F0862"/>
    <w:rsid w:val="004F0B20"/>
    <w:rsid w:val="004F0B36"/>
    <w:rsid w:val="004F2C43"/>
    <w:rsid w:val="004F32E0"/>
    <w:rsid w:val="004F487A"/>
    <w:rsid w:val="004F4F9E"/>
    <w:rsid w:val="004F6076"/>
    <w:rsid w:val="004F7A75"/>
    <w:rsid w:val="005003B1"/>
    <w:rsid w:val="0050297D"/>
    <w:rsid w:val="005041D5"/>
    <w:rsid w:val="0050441E"/>
    <w:rsid w:val="00504C1B"/>
    <w:rsid w:val="00504CEF"/>
    <w:rsid w:val="00505B0D"/>
    <w:rsid w:val="005061FA"/>
    <w:rsid w:val="00512C7A"/>
    <w:rsid w:val="005133ED"/>
    <w:rsid w:val="00513CF8"/>
    <w:rsid w:val="005143EE"/>
    <w:rsid w:val="00514BBE"/>
    <w:rsid w:val="00514DBC"/>
    <w:rsid w:val="00515A45"/>
    <w:rsid w:val="00520141"/>
    <w:rsid w:val="005222D8"/>
    <w:rsid w:val="005225B0"/>
    <w:rsid w:val="005227FF"/>
    <w:rsid w:val="00524D0C"/>
    <w:rsid w:val="00525FAB"/>
    <w:rsid w:val="00526054"/>
    <w:rsid w:val="0052779D"/>
    <w:rsid w:val="0053011C"/>
    <w:rsid w:val="00530AFF"/>
    <w:rsid w:val="00536C8D"/>
    <w:rsid w:val="005444C8"/>
    <w:rsid w:val="00550710"/>
    <w:rsid w:val="005509A4"/>
    <w:rsid w:val="00550A77"/>
    <w:rsid w:val="005519D0"/>
    <w:rsid w:val="00552F59"/>
    <w:rsid w:val="005533B0"/>
    <w:rsid w:val="0055492E"/>
    <w:rsid w:val="00554B60"/>
    <w:rsid w:val="00556842"/>
    <w:rsid w:val="0055700D"/>
    <w:rsid w:val="005572FB"/>
    <w:rsid w:val="00557BEB"/>
    <w:rsid w:val="00560835"/>
    <w:rsid w:val="00562035"/>
    <w:rsid w:val="005624B1"/>
    <w:rsid w:val="00565126"/>
    <w:rsid w:val="0057039C"/>
    <w:rsid w:val="00570D1B"/>
    <w:rsid w:val="00571DEF"/>
    <w:rsid w:val="00575173"/>
    <w:rsid w:val="005752BF"/>
    <w:rsid w:val="005759D6"/>
    <w:rsid w:val="005771DA"/>
    <w:rsid w:val="00577FB6"/>
    <w:rsid w:val="00580179"/>
    <w:rsid w:val="00581607"/>
    <w:rsid w:val="00582E2C"/>
    <w:rsid w:val="0058388A"/>
    <w:rsid w:val="0058393C"/>
    <w:rsid w:val="00584AFC"/>
    <w:rsid w:val="005852D0"/>
    <w:rsid w:val="005863B5"/>
    <w:rsid w:val="005878E2"/>
    <w:rsid w:val="00590B4D"/>
    <w:rsid w:val="00590BDD"/>
    <w:rsid w:val="005914B9"/>
    <w:rsid w:val="00592888"/>
    <w:rsid w:val="00592BBB"/>
    <w:rsid w:val="005957CE"/>
    <w:rsid w:val="00596E3B"/>
    <w:rsid w:val="00596FF0"/>
    <w:rsid w:val="005970A3"/>
    <w:rsid w:val="00597B42"/>
    <w:rsid w:val="005A241B"/>
    <w:rsid w:val="005A2B9D"/>
    <w:rsid w:val="005A3E94"/>
    <w:rsid w:val="005A4D06"/>
    <w:rsid w:val="005A60A5"/>
    <w:rsid w:val="005A6EB7"/>
    <w:rsid w:val="005B0CF1"/>
    <w:rsid w:val="005B1FE4"/>
    <w:rsid w:val="005B3834"/>
    <w:rsid w:val="005B5C80"/>
    <w:rsid w:val="005B630B"/>
    <w:rsid w:val="005B6E27"/>
    <w:rsid w:val="005B6F38"/>
    <w:rsid w:val="005B708C"/>
    <w:rsid w:val="005B7964"/>
    <w:rsid w:val="005C1522"/>
    <w:rsid w:val="005C1803"/>
    <w:rsid w:val="005C248A"/>
    <w:rsid w:val="005C274C"/>
    <w:rsid w:val="005C2E1B"/>
    <w:rsid w:val="005C58F5"/>
    <w:rsid w:val="005D02D6"/>
    <w:rsid w:val="005D0621"/>
    <w:rsid w:val="005D11B6"/>
    <w:rsid w:val="005D3588"/>
    <w:rsid w:val="005D3C0D"/>
    <w:rsid w:val="005D3C1F"/>
    <w:rsid w:val="005D4987"/>
    <w:rsid w:val="005D70DA"/>
    <w:rsid w:val="005E054E"/>
    <w:rsid w:val="005E1AE8"/>
    <w:rsid w:val="005E4826"/>
    <w:rsid w:val="005E4969"/>
    <w:rsid w:val="005E4972"/>
    <w:rsid w:val="005E738A"/>
    <w:rsid w:val="005F222C"/>
    <w:rsid w:val="005F228E"/>
    <w:rsid w:val="005F37C2"/>
    <w:rsid w:val="005F6800"/>
    <w:rsid w:val="005F6B4A"/>
    <w:rsid w:val="005F7266"/>
    <w:rsid w:val="005F768E"/>
    <w:rsid w:val="00602F86"/>
    <w:rsid w:val="00603E9D"/>
    <w:rsid w:val="00605C7D"/>
    <w:rsid w:val="006069B2"/>
    <w:rsid w:val="0060CA65"/>
    <w:rsid w:val="0061028F"/>
    <w:rsid w:val="00610AB8"/>
    <w:rsid w:val="00610D26"/>
    <w:rsid w:val="00611334"/>
    <w:rsid w:val="00611C1D"/>
    <w:rsid w:val="00612BA2"/>
    <w:rsid w:val="00613306"/>
    <w:rsid w:val="00614421"/>
    <w:rsid w:val="00615A8E"/>
    <w:rsid w:val="0062130E"/>
    <w:rsid w:val="006218C8"/>
    <w:rsid w:val="00621A8A"/>
    <w:rsid w:val="00621B0B"/>
    <w:rsid w:val="00622E48"/>
    <w:rsid w:val="0062373E"/>
    <w:rsid w:val="00624667"/>
    <w:rsid w:val="006263F9"/>
    <w:rsid w:val="00627433"/>
    <w:rsid w:val="006308F7"/>
    <w:rsid w:val="00631D39"/>
    <w:rsid w:val="00636196"/>
    <w:rsid w:val="006374EA"/>
    <w:rsid w:val="00637A31"/>
    <w:rsid w:val="006400A1"/>
    <w:rsid w:val="006409DE"/>
    <w:rsid w:val="00641088"/>
    <w:rsid w:val="0064229D"/>
    <w:rsid w:val="00642C4E"/>
    <w:rsid w:val="00642CCE"/>
    <w:rsid w:val="00643A30"/>
    <w:rsid w:val="0064555F"/>
    <w:rsid w:val="00645656"/>
    <w:rsid w:val="00650D93"/>
    <w:rsid w:val="00651CAC"/>
    <w:rsid w:val="00652115"/>
    <w:rsid w:val="00654090"/>
    <w:rsid w:val="00655DB1"/>
    <w:rsid w:val="00656A10"/>
    <w:rsid w:val="00656D6A"/>
    <w:rsid w:val="0066084D"/>
    <w:rsid w:val="00661070"/>
    <w:rsid w:val="006610B9"/>
    <w:rsid w:val="00661141"/>
    <w:rsid w:val="00661F88"/>
    <w:rsid w:val="00662635"/>
    <w:rsid w:val="006635FD"/>
    <w:rsid w:val="00664DE8"/>
    <w:rsid w:val="00666A79"/>
    <w:rsid w:val="006670E4"/>
    <w:rsid w:val="00670F24"/>
    <w:rsid w:val="0067454A"/>
    <w:rsid w:val="006753C0"/>
    <w:rsid w:val="006770CC"/>
    <w:rsid w:val="00677F04"/>
    <w:rsid w:val="006810D1"/>
    <w:rsid w:val="006811FB"/>
    <w:rsid w:val="00684347"/>
    <w:rsid w:val="00684897"/>
    <w:rsid w:val="00684F02"/>
    <w:rsid w:val="00687C4E"/>
    <w:rsid w:val="00690BA0"/>
    <w:rsid w:val="00691303"/>
    <w:rsid w:val="0069211F"/>
    <w:rsid w:val="00692B48"/>
    <w:rsid w:val="00692BDA"/>
    <w:rsid w:val="00693276"/>
    <w:rsid w:val="00694C5C"/>
    <w:rsid w:val="006961D2"/>
    <w:rsid w:val="00696271"/>
    <w:rsid w:val="00696545"/>
    <w:rsid w:val="006A1E78"/>
    <w:rsid w:val="006A1E98"/>
    <w:rsid w:val="006A2321"/>
    <w:rsid w:val="006A70F7"/>
    <w:rsid w:val="006A7340"/>
    <w:rsid w:val="006A7853"/>
    <w:rsid w:val="006A7F17"/>
    <w:rsid w:val="006B25FA"/>
    <w:rsid w:val="006B53B9"/>
    <w:rsid w:val="006C0CAF"/>
    <w:rsid w:val="006C15DC"/>
    <w:rsid w:val="006C1A94"/>
    <w:rsid w:val="006C2DFF"/>
    <w:rsid w:val="006C4870"/>
    <w:rsid w:val="006C5269"/>
    <w:rsid w:val="006C5E1B"/>
    <w:rsid w:val="006C5E38"/>
    <w:rsid w:val="006C6692"/>
    <w:rsid w:val="006C77A1"/>
    <w:rsid w:val="006C7824"/>
    <w:rsid w:val="006C7E5E"/>
    <w:rsid w:val="006D014F"/>
    <w:rsid w:val="006D01C9"/>
    <w:rsid w:val="006D0C94"/>
    <w:rsid w:val="006D21B0"/>
    <w:rsid w:val="006D281F"/>
    <w:rsid w:val="006D54B2"/>
    <w:rsid w:val="006D54D2"/>
    <w:rsid w:val="006D619C"/>
    <w:rsid w:val="006D6D24"/>
    <w:rsid w:val="006E02F9"/>
    <w:rsid w:val="006E2467"/>
    <w:rsid w:val="006E42A2"/>
    <w:rsid w:val="006E513B"/>
    <w:rsid w:val="006E559F"/>
    <w:rsid w:val="006E5A6D"/>
    <w:rsid w:val="006F12C9"/>
    <w:rsid w:val="006F13D1"/>
    <w:rsid w:val="006F25F1"/>
    <w:rsid w:val="006F4625"/>
    <w:rsid w:val="006F52A8"/>
    <w:rsid w:val="006F6ED5"/>
    <w:rsid w:val="006F742A"/>
    <w:rsid w:val="006F797D"/>
    <w:rsid w:val="00700A7C"/>
    <w:rsid w:val="00700EB0"/>
    <w:rsid w:val="00701327"/>
    <w:rsid w:val="00702C05"/>
    <w:rsid w:val="00704717"/>
    <w:rsid w:val="00704969"/>
    <w:rsid w:val="00704C20"/>
    <w:rsid w:val="00704F98"/>
    <w:rsid w:val="007054D2"/>
    <w:rsid w:val="00706283"/>
    <w:rsid w:val="00706B85"/>
    <w:rsid w:val="007107A7"/>
    <w:rsid w:val="0071091E"/>
    <w:rsid w:val="007116D1"/>
    <w:rsid w:val="007116FB"/>
    <w:rsid w:val="0071236A"/>
    <w:rsid w:val="00712491"/>
    <w:rsid w:val="00714D62"/>
    <w:rsid w:val="007171B1"/>
    <w:rsid w:val="00720A47"/>
    <w:rsid w:val="007214F7"/>
    <w:rsid w:val="007215A0"/>
    <w:rsid w:val="00721915"/>
    <w:rsid w:val="00721B8C"/>
    <w:rsid w:val="007222FE"/>
    <w:rsid w:val="0072411C"/>
    <w:rsid w:val="00724395"/>
    <w:rsid w:val="007264ED"/>
    <w:rsid w:val="00726BDC"/>
    <w:rsid w:val="007271AF"/>
    <w:rsid w:val="00727454"/>
    <w:rsid w:val="00727A92"/>
    <w:rsid w:val="007315D4"/>
    <w:rsid w:val="00731F9B"/>
    <w:rsid w:val="00733646"/>
    <w:rsid w:val="00734DA0"/>
    <w:rsid w:val="00735075"/>
    <w:rsid w:val="007360E6"/>
    <w:rsid w:val="007377ED"/>
    <w:rsid w:val="007409E0"/>
    <w:rsid w:val="00744F24"/>
    <w:rsid w:val="0074603B"/>
    <w:rsid w:val="00746AAD"/>
    <w:rsid w:val="00746C54"/>
    <w:rsid w:val="00746FAC"/>
    <w:rsid w:val="00752F1F"/>
    <w:rsid w:val="0075319C"/>
    <w:rsid w:val="007531AA"/>
    <w:rsid w:val="007547C1"/>
    <w:rsid w:val="00755C23"/>
    <w:rsid w:val="00760455"/>
    <w:rsid w:val="007605AD"/>
    <w:rsid w:val="0076206C"/>
    <w:rsid w:val="00762784"/>
    <w:rsid w:val="007649AF"/>
    <w:rsid w:val="00767536"/>
    <w:rsid w:val="0076757E"/>
    <w:rsid w:val="00767F2F"/>
    <w:rsid w:val="00771718"/>
    <w:rsid w:val="00771801"/>
    <w:rsid w:val="00772991"/>
    <w:rsid w:val="00774BF6"/>
    <w:rsid w:val="00776D84"/>
    <w:rsid w:val="00776D97"/>
    <w:rsid w:val="00780342"/>
    <w:rsid w:val="00780997"/>
    <w:rsid w:val="00781902"/>
    <w:rsid w:val="00781D08"/>
    <w:rsid w:val="00783246"/>
    <w:rsid w:val="007839DE"/>
    <w:rsid w:val="00783A5D"/>
    <w:rsid w:val="007878D0"/>
    <w:rsid w:val="007879D6"/>
    <w:rsid w:val="00787A9F"/>
    <w:rsid w:val="00790B03"/>
    <w:rsid w:val="00792477"/>
    <w:rsid w:val="0079364F"/>
    <w:rsid w:val="00794B63"/>
    <w:rsid w:val="007953F5"/>
    <w:rsid w:val="00795816"/>
    <w:rsid w:val="007969E7"/>
    <w:rsid w:val="007A040F"/>
    <w:rsid w:val="007A2601"/>
    <w:rsid w:val="007A2C30"/>
    <w:rsid w:val="007A2EDF"/>
    <w:rsid w:val="007A2FAA"/>
    <w:rsid w:val="007A5898"/>
    <w:rsid w:val="007A6576"/>
    <w:rsid w:val="007B0647"/>
    <w:rsid w:val="007B0AD8"/>
    <w:rsid w:val="007B0B5E"/>
    <w:rsid w:val="007B4610"/>
    <w:rsid w:val="007B53F9"/>
    <w:rsid w:val="007C183C"/>
    <w:rsid w:val="007C6B57"/>
    <w:rsid w:val="007C7A44"/>
    <w:rsid w:val="007D0414"/>
    <w:rsid w:val="007D0900"/>
    <w:rsid w:val="007D1A7A"/>
    <w:rsid w:val="007D1EFA"/>
    <w:rsid w:val="007D2CF5"/>
    <w:rsid w:val="007D38B7"/>
    <w:rsid w:val="007D3E7E"/>
    <w:rsid w:val="007D4FC2"/>
    <w:rsid w:val="007D6414"/>
    <w:rsid w:val="007D6C0E"/>
    <w:rsid w:val="007D77DF"/>
    <w:rsid w:val="007E10C0"/>
    <w:rsid w:val="007E14F6"/>
    <w:rsid w:val="007E1C19"/>
    <w:rsid w:val="007E2061"/>
    <w:rsid w:val="007E22DB"/>
    <w:rsid w:val="007E2525"/>
    <w:rsid w:val="007E26B1"/>
    <w:rsid w:val="007E335B"/>
    <w:rsid w:val="007E4089"/>
    <w:rsid w:val="007E4B01"/>
    <w:rsid w:val="007E5779"/>
    <w:rsid w:val="007E66D5"/>
    <w:rsid w:val="007E6B7C"/>
    <w:rsid w:val="007F055E"/>
    <w:rsid w:val="007F0674"/>
    <w:rsid w:val="007F0E99"/>
    <w:rsid w:val="007F18BD"/>
    <w:rsid w:val="007F31B9"/>
    <w:rsid w:val="007F57A9"/>
    <w:rsid w:val="007F740E"/>
    <w:rsid w:val="00800E2F"/>
    <w:rsid w:val="00801847"/>
    <w:rsid w:val="008023AC"/>
    <w:rsid w:val="0080323C"/>
    <w:rsid w:val="008032C5"/>
    <w:rsid w:val="00803ECB"/>
    <w:rsid w:val="0080409D"/>
    <w:rsid w:val="00805934"/>
    <w:rsid w:val="00805DFF"/>
    <w:rsid w:val="00807398"/>
    <w:rsid w:val="008107DF"/>
    <w:rsid w:val="0081139A"/>
    <w:rsid w:val="00811B02"/>
    <w:rsid w:val="00811C8E"/>
    <w:rsid w:val="008132E3"/>
    <w:rsid w:val="00813713"/>
    <w:rsid w:val="00814BC3"/>
    <w:rsid w:val="0081579D"/>
    <w:rsid w:val="0081752D"/>
    <w:rsid w:val="00817AD3"/>
    <w:rsid w:val="00821DF0"/>
    <w:rsid w:val="00823025"/>
    <w:rsid w:val="00823F50"/>
    <w:rsid w:val="00824823"/>
    <w:rsid w:val="00824F8E"/>
    <w:rsid w:val="008258AF"/>
    <w:rsid w:val="00827855"/>
    <w:rsid w:val="00827F47"/>
    <w:rsid w:val="00830868"/>
    <w:rsid w:val="0083593A"/>
    <w:rsid w:val="00837EAD"/>
    <w:rsid w:val="00840AF6"/>
    <w:rsid w:val="00840F6E"/>
    <w:rsid w:val="00841C43"/>
    <w:rsid w:val="008422DF"/>
    <w:rsid w:val="00842518"/>
    <w:rsid w:val="00844D5C"/>
    <w:rsid w:val="00844F98"/>
    <w:rsid w:val="00847814"/>
    <w:rsid w:val="00852092"/>
    <w:rsid w:val="008522F6"/>
    <w:rsid w:val="00852679"/>
    <w:rsid w:val="008527FE"/>
    <w:rsid w:val="008528CB"/>
    <w:rsid w:val="00855A4A"/>
    <w:rsid w:val="00861B0C"/>
    <w:rsid w:val="00865E40"/>
    <w:rsid w:val="00865EDD"/>
    <w:rsid w:val="0087015D"/>
    <w:rsid w:val="008702F8"/>
    <w:rsid w:val="0087343B"/>
    <w:rsid w:val="0087534F"/>
    <w:rsid w:val="008755F6"/>
    <w:rsid w:val="0087572E"/>
    <w:rsid w:val="008763AA"/>
    <w:rsid w:val="0087680A"/>
    <w:rsid w:val="008769BA"/>
    <w:rsid w:val="00880CC7"/>
    <w:rsid w:val="00883555"/>
    <w:rsid w:val="0088379A"/>
    <w:rsid w:val="00883852"/>
    <w:rsid w:val="00883B4C"/>
    <w:rsid w:val="00884662"/>
    <w:rsid w:val="008861A0"/>
    <w:rsid w:val="0089152F"/>
    <w:rsid w:val="008922E1"/>
    <w:rsid w:val="00892690"/>
    <w:rsid w:val="00892FB7"/>
    <w:rsid w:val="008960AB"/>
    <w:rsid w:val="008965B6"/>
    <w:rsid w:val="00897B0D"/>
    <w:rsid w:val="008A0352"/>
    <w:rsid w:val="008A07CC"/>
    <w:rsid w:val="008A10B9"/>
    <w:rsid w:val="008A11DE"/>
    <w:rsid w:val="008A2F88"/>
    <w:rsid w:val="008A3C2D"/>
    <w:rsid w:val="008A469D"/>
    <w:rsid w:val="008A5B5B"/>
    <w:rsid w:val="008B01BB"/>
    <w:rsid w:val="008B0FA3"/>
    <w:rsid w:val="008B1A7F"/>
    <w:rsid w:val="008B312E"/>
    <w:rsid w:val="008B3630"/>
    <w:rsid w:val="008B4721"/>
    <w:rsid w:val="008C072F"/>
    <w:rsid w:val="008C1383"/>
    <w:rsid w:val="008C1F0A"/>
    <w:rsid w:val="008C2F5F"/>
    <w:rsid w:val="008C3090"/>
    <w:rsid w:val="008C3DAA"/>
    <w:rsid w:val="008C457D"/>
    <w:rsid w:val="008C4825"/>
    <w:rsid w:val="008C69FF"/>
    <w:rsid w:val="008C771E"/>
    <w:rsid w:val="008D00EF"/>
    <w:rsid w:val="008D08D0"/>
    <w:rsid w:val="008D0D44"/>
    <w:rsid w:val="008D0D6F"/>
    <w:rsid w:val="008D3805"/>
    <w:rsid w:val="008D3A8B"/>
    <w:rsid w:val="008D6AAA"/>
    <w:rsid w:val="008D73CD"/>
    <w:rsid w:val="008D77C4"/>
    <w:rsid w:val="008D7E4E"/>
    <w:rsid w:val="008E0ED2"/>
    <w:rsid w:val="008E160A"/>
    <w:rsid w:val="008E475F"/>
    <w:rsid w:val="008E4A07"/>
    <w:rsid w:val="008E5ADB"/>
    <w:rsid w:val="008E5FFE"/>
    <w:rsid w:val="008E6545"/>
    <w:rsid w:val="008E6C39"/>
    <w:rsid w:val="008E70F6"/>
    <w:rsid w:val="008F1ABC"/>
    <w:rsid w:val="008F21BF"/>
    <w:rsid w:val="008F2A09"/>
    <w:rsid w:val="008F3667"/>
    <w:rsid w:val="008F4720"/>
    <w:rsid w:val="008F63DB"/>
    <w:rsid w:val="008F72F1"/>
    <w:rsid w:val="008F781A"/>
    <w:rsid w:val="00901BBE"/>
    <w:rsid w:val="009034BB"/>
    <w:rsid w:val="0090354D"/>
    <w:rsid w:val="00903A12"/>
    <w:rsid w:val="00904EC3"/>
    <w:rsid w:val="009052C6"/>
    <w:rsid w:val="00906920"/>
    <w:rsid w:val="00906FA0"/>
    <w:rsid w:val="00910A5A"/>
    <w:rsid w:val="00911468"/>
    <w:rsid w:val="009137EE"/>
    <w:rsid w:val="00914A1C"/>
    <w:rsid w:val="00916637"/>
    <w:rsid w:val="0091684E"/>
    <w:rsid w:val="009176C7"/>
    <w:rsid w:val="00917F35"/>
    <w:rsid w:val="0092011A"/>
    <w:rsid w:val="00920EEA"/>
    <w:rsid w:val="009212F6"/>
    <w:rsid w:val="00921BC6"/>
    <w:rsid w:val="00921C7D"/>
    <w:rsid w:val="00922ABD"/>
    <w:rsid w:val="00922F84"/>
    <w:rsid w:val="00923450"/>
    <w:rsid w:val="009246F5"/>
    <w:rsid w:val="00924D8B"/>
    <w:rsid w:val="00925097"/>
    <w:rsid w:val="00926240"/>
    <w:rsid w:val="00926F47"/>
    <w:rsid w:val="009271D8"/>
    <w:rsid w:val="00927841"/>
    <w:rsid w:val="009305E4"/>
    <w:rsid w:val="00931599"/>
    <w:rsid w:val="00931C98"/>
    <w:rsid w:val="009328EE"/>
    <w:rsid w:val="0093326E"/>
    <w:rsid w:val="0093590D"/>
    <w:rsid w:val="00935D92"/>
    <w:rsid w:val="009361BD"/>
    <w:rsid w:val="009366B8"/>
    <w:rsid w:val="00937F91"/>
    <w:rsid w:val="00940272"/>
    <w:rsid w:val="00940CFA"/>
    <w:rsid w:val="00941E4E"/>
    <w:rsid w:val="009444F7"/>
    <w:rsid w:val="00944974"/>
    <w:rsid w:val="0094568D"/>
    <w:rsid w:val="009459A0"/>
    <w:rsid w:val="00946044"/>
    <w:rsid w:val="00946D9A"/>
    <w:rsid w:val="00950541"/>
    <w:rsid w:val="00950CC8"/>
    <w:rsid w:val="0095229B"/>
    <w:rsid w:val="00952A83"/>
    <w:rsid w:val="00955291"/>
    <w:rsid w:val="00956AFB"/>
    <w:rsid w:val="00956C02"/>
    <w:rsid w:val="009572E6"/>
    <w:rsid w:val="0095790E"/>
    <w:rsid w:val="00957DE1"/>
    <w:rsid w:val="009600A5"/>
    <w:rsid w:val="00960C7F"/>
    <w:rsid w:val="00960D59"/>
    <w:rsid w:val="00964D22"/>
    <w:rsid w:val="009668C3"/>
    <w:rsid w:val="0096699A"/>
    <w:rsid w:val="009674F6"/>
    <w:rsid w:val="009700C6"/>
    <w:rsid w:val="00970CE8"/>
    <w:rsid w:val="00970D76"/>
    <w:rsid w:val="00972753"/>
    <w:rsid w:val="00972CFB"/>
    <w:rsid w:val="009739CF"/>
    <w:rsid w:val="00973D5E"/>
    <w:rsid w:val="00975469"/>
    <w:rsid w:val="0097578C"/>
    <w:rsid w:val="00976037"/>
    <w:rsid w:val="00977156"/>
    <w:rsid w:val="009807CE"/>
    <w:rsid w:val="00981122"/>
    <w:rsid w:val="00981B5F"/>
    <w:rsid w:val="00982556"/>
    <w:rsid w:val="00982F36"/>
    <w:rsid w:val="00983129"/>
    <w:rsid w:val="00983844"/>
    <w:rsid w:val="00983F61"/>
    <w:rsid w:val="00985101"/>
    <w:rsid w:val="00986B21"/>
    <w:rsid w:val="00987771"/>
    <w:rsid w:val="009919DC"/>
    <w:rsid w:val="00993570"/>
    <w:rsid w:val="0099460D"/>
    <w:rsid w:val="00995AB1"/>
    <w:rsid w:val="00996186"/>
    <w:rsid w:val="009964B6"/>
    <w:rsid w:val="00997D81"/>
    <w:rsid w:val="009A0A66"/>
    <w:rsid w:val="009A0EFE"/>
    <w:rsid w:val="009A0F74"/>
    <w:rsid w:val="009A1751"/>
    <w:rsid w:val="009A2FC6"/>
    <w:rsid w:val="009A3623"/>
    <w:rsid w:val="009A4B9E"/>
    <w:rsid w:val="009A5996"/>
    <w:rsid w:val="009A6184"/>
    <w:rsid w:val="009A72C7"/>
    <w:rsid w:val="009A788B"/>
    <w:rsid w:val="009B2323"/>
    <w:rsid w:val="009B33AC"/>
    <w:rsid w:val="009B471A"/>
    <w:rsid w:val="009B5767"/>
    <w:rsid w:val="009B6E4B"/>
    <w:rsid w:val="009C4733"/>
    <w:rsid w:val="009C5982"/>
    <w:rsid w:val="009C664B"/>
    <w:rsid w:val="009D100E"/>
    <w:rsid w:val="009D115D"/>
    <w:rsid w:val="009D288B"/>
    <w:rsid w:val="009D2B3C"/>
    <w:rsid w:val="009D3BA7"/>
    <w:rsid w:val="009D4DD1"/>
    <w:rsid w:val="009D54A8"/>
    <w:rsid w:val="009D64ED"/>
    <w:rsid w:val="009D6674"/>
    <w:rsid w:val="009D6C41"/>
    <w:rsid w:val="009D6F1D"/>
    <w:rsid w:val="009D7138"/>
    <w:rsid w:val="009D743F"/>
    <w:rsid w:val="009E08D6"/>
    <w:rsid w:val="009E1FF0"/>
    <w:rsid w:val="009E5E7F"/>
    <w:rsid w:val="009E687E"/>
    <w:rsid w:val="009E7529"/>
    <w:rsid w:val="009F10AB"/>
    <w:rsid w:val="009F31B6"/>
    <w:rsid w:val="009F45BD"/>
    <w:rsid w:val="009F4FC9"/>
    <w:rsid w:val="009F536D"/>
    <w:rsid w:val="009F537D"/>
    <w:rsid w:val="009F7DD7"/>
    <w:rsid w:val="00A00201"/>
    <w:rsid w:val="00A01299"/>
    <w:rsid w:val="00A014D2"/>
    <w:rsid w:val="00A01846"/>
    <w:rsid w:val="00A0390A"/>
    <w:rsid w:val="00A04D02"/>
    <w:rsid w:val="00A05052"/>
    <w:rsid w:val="00A052BF"/>
    <w:rsid w:val="00A06C60"/>
    <w:rsid w:val="00A07091"/>
    <w:rsid w:val="00A1124A"/>
    <w:rsid w:val="00A1163F"/>
    <w:rsid w:val="00A118A5"/>
    <w:rsid w:val="00A11D66"/>
    <w:rsid w:val="00A13164"/>
    <w:rsid w:val="00A1341C"/>
    <w:rsid w:val="00A142E2"/>
    <w:rsid w:val="00A1484F"/>
    <w:rsid w:val="00A15409"/>
    <w:rsid w:val="00A1590D"/>
    <w:rsid w:val="00A15EAF"/>
    <w:rsid w:val="00A168E1"/>
    <w:rsid w:val="00A1723E"/>
    <w:rsid w:val="00A1729B"/>
    <w:rsid w:val="00A1744F"/>
    <w:rsid w:val="00A2026D"/>
    <w:rsid w:val="00A20D93"/>
    <w:rsid w:val="00A21092"/>
    <w:rsid w:val="00A21FDB"/>
    <w:rsid w:val="00A222EE"/>
    <w:rsid w:val="00A25871"/>
    <w:rsid w:val="00A25FDB"/>
    <w:rsid w:val="00A26F70"/>
    <w:rsid w:val="00A271A0"/>
    <w:rsid w:val="00A27F53"/>
    <w:rsid w:val="00A31214"/>
    <w:rsid w:val="00A3225E"/>
    <w:rsid w:val="00A33419"/>
    <w:rsid w:val="00A3491E"/>
    <w:rsid w:val="00A3517A"/>
    <w:rsid w:val="00A36113"/>
    <w:rsid w:val="00A37B9F"/>
    <w:rsid w:val="00A407F1"/>
    <w:rsid w:val="00A424D1"/>
    <w:rsid w:val="00A42889"/>
    <w:rsid w:val="00A450CC"/>
    <w:rsid w:val="00A4558A"/>
    <w:rsid w:val="00A4657A"/>
    <w:rsid w:val="00A4774D"/>
    <w:rsid w:val="00A47AD3"/>
    <w:rsid w:val="00A50014"/>
    <w:rsid w:val="00A50CD5"/>
    <w:rsid w:val="00A5126D"/>
    <w:rsid w:val="00A52B23"/>
    <w:rsid w:val="00A5421E"/>
    <w:rsid w:val="00A54BF2"/>
    <w:rsid w:val="00A606B0"/>
    <w:rsid w:val="00A60878"/>
    <w:rsid w:val="00A6259D"/>
    <w:rsid w:val="00A62F67"/>
    <w:rsid w:val="00A6303F"/>
    <w:rsid w:val="00A63134"/>
    <w:rsid w:val="00A634FF"/>
    <w:rsid w:val="00A63799"/>
    <w:rsid w:val="00A63AA5"/>
    <w:rsid w:val="00A63F03"/>
    <w:rsid w:val="00A70B8B"/>
    <w:rsid w:val="00A74941"/>
    <w:rsid w:val="00A75D7C"/>
    <w:rsid w:val="00A76E44"/>
    <w:rsid w:val="00A801A0"/>
    <w:rsid w:val="00A80221"/>
    <w:rsid w:val="00A819AF"/>
    <w:rsid w:val="00A83DC2"/>
    <w:rsid w:val="00A84963"/>
    <w:rsid w:val="00A928FD"/>
    <w:rsid w:val="00A92F13"/>
    <w:rsid w:val="00A94053"/>
    <w:rsid w:val="00A94188"/>
    <w:rsid w:val="00A94B44"/>
    <w:rsid w:val="00A952FF"/>
    <w:rsid w:val="00A961A0"/>
    <w:rsid w:val="00A97075"/>
    <w:rsid w:val="00A971BF"/>
    <w:rsid w:val="00AA03C5"/>
    <w:rsid w:val="00AA281E"/>
    <w:rsid w:val="00AA5C57"/>
    <w:rsid w:val="00AA7672"/>
    <w:rsid w:val="00AB0D9E"/>
    <w:rsid w:val="00AB1049"/>
    <w:rsid w:val="00AB3E36"/>
    <w:rsid w:val="00AB3EBC"/>
    <w:rsid w:val="00AB4FE5"/>
    <w:rsid w:val="00AB5C57"/>
    <w:rsid w:val="00AB5FAC"/>
    <w:rsid w:val="00AB7DD3"/>
    <w:rsid w:val="00AC2A93"/>
    <w:rsid w:val="00AC31D4"/>
    <w:rsid w:val="00AC36CE"/>
    <w:rsid w:val="00AC3DDB"/>
    <w:rsid w:val="00AC6D17"/>
    <w:rsid w:val="00AC703E"/>
    <w:rsid w:val="00AD001F"/>
    <w:rsid w:val="00AD006A"/>
    <w:rsid w:val="00AD098E"/>
    <w:rsid w:val="00AD0ECD"/>
    <w:rsid w:val="00AD21F8"/>
    <w:rsid w:val="00AD24DB"/>
    <w:rsid w:val="00AD2CB9"/>
    <w:rsid w:val="00AD2D61"/>
    <w:rsid w:val="00AD3ADB"/>
    <w:rsid w:val="00AE0779"/>
    <w:rsid w:val="00AE1D10"/>
    <w:rsid w:val="00AE2419"/>
    <w:rsid w:val="00AE27BD"/>
    <w:rsid w:val="00AE2DD6"/>
    <w:rsid w:val="00AE38CD"/>
    <w:rsid w:val="00AE58AF"/>
    <w:rsid w:val="00AE65D1"/>
    <w:rsid w:val="00AE670E"/>
    <w:rsid w:val="00AE6B7A"/>
    <w:rsid w:val="00AE7DBD"/>
    <w:rsid w:val="00AF30A4"/>
    <w:rsid w:val="00AF34D4"/>
    <w:rsid w:val="00AF356B"/>
    <w:rsid w:val="00AF3C0F"/>
    <w:rsid w:val="00AF4824"/>
    <w:rsid w:val="00AF4D1A"/>
    <w:rsid w:val="00AF689B"/>
    <w:rsid w:val="00AF75DE"/>
    <w:rsid w:val="00B00460"/>
    <w:rsid w:val="00B00CDA"/>
    <w:rsid w:val="00B016B2"/>
    <w:rsid w:val="00B028DD"/>
    <w:rsid w:val="00B04159"/>
    <w:rsid w:val="00B04BD4"/>
    <w:rsid w:val="00B04CF9"/>
    <w:rsid w:val="00B10318"/>
    <w:rsid w:val="00B12A02"/>
    <w:rsid w:val="00B1586B"/>
    <w:rsid w:val="00B16E05"/>
    <w:rsid w:val="00B17020"/>
    <w:rsid w:val="00B20642"/>
    <w:rsid w:val="00B21898"/>
    <w:rsid w:val="00B21A90"/>
    <w:rsid w:val="00B235F7"/>
    <w:rsid w:val="00B26D1C"/>
    <w:rsid w:val="00B27D0D"/>
    <w:rsid w:val="00B27F14"/>
    <w:rsid w:val="00B31800"/>
    <w:rsid w:val="00B31B50"/>
    <w:rsid w:val="00B32F5C"/>
    <w:rsid w:val="00B35416"/>
    <w:rsid w:val="00B3642E"/>
    <w:rsid w:val="00B37CA6"/>
    <w:rsid w:val="00B41A81"/>
    <w:rsid w:val="00B41AFC"/>
    <w:rsid w:val="00B41E7B"/>
    <w:rsid w:val="00B43217"/>
    <w:rsid w:val="00B43385"/>
    <w:rsid w:val="00B443E3"/>
    <w:rsid w:val="00B461BB"/>
    <w:rsid w:val="00B47309"/>
    <w:rsid w:val="00B5056A"/>
    <w:rsid w:val="00B5154A"/>
    <w:rsid w:val="00B51CFF"/>
    <w:rsid w:val="00B535DB"/>
    <w:rsid w:val="00B53703"/>
    <w:rsid w:val="00B542B3"/>
    <w:rsid w:val="00B553FA"/>
    <w:rsid w:val="00B55F46"/>
    <w:rsid w:val="00B560A9"/>
    <w:rsid w:val="00B5717F"/>
    <w:rsid w:val="00B5B9DD"/>
    <w:rsid w:val="00B60C51"/>
    <w:rsid w:val="00B61B74"/>
    <w:rsid w:val="00B6241E"/>
    <w:rsid w:val="00B63BC8"/>
    <w:rsid w:val="00B640FF"/>
    <w:rsid w:val="00B641D4"/>
    <w:rsid w:val="00B64D84"/>
    <w:rsid w:val="00B65055"/>
    <w:rsid w:val="00B65A40"/>
    <w:rsid w:val="00B6681A"/>
    <w:rsid w:val="00B67815"/>
    <w:rsid w:val="00B70DF8"/>
    <w:rsid w:val="00B721B6"/>
    <w:rsid w:val="00B733F3"/>
    <w:rsid w:val="00B7446D"/>
    <w:rsid w:val="00B75497"/>
    <w:rsid w:val="00B75551"/>
    <w:rsid w:val="00B75601"/>
    <w:rsid w:val="00B763A6"/>
    <w:rsid w:val="00B77E04"/>
    <w:rsid w:val="00B804E9"/>
    <w:rsid w:val="00B80639"/>
    <w:rsid w:val="00B81E4D"/>
    <w:rsid w:val="00B82F8F"/>
    <w:rsid w:val="00B837F9"/>
    <w:rsid w:val="00B83EA0"/>
    <w:rsid w:val="00B90249"/>
    <w:rsid w:val="00B914EC"/>
    <w:rsid w:val="00B925F2"/>
    <w:rsid w:val="00B95449"/>
    <w:rsid w:val="00B96730"/>
    <w:rsid w:val="00B9681B"/>
    <w:rsid w:val="00BA0030"/>
    <w:rsid w:val="00BA00BE"/>
    <w:rsid w:val="00BA182B"/>
    <w:rsid w:val="00BA2AB7"/>
    <w:rsid w:val="00BA3636"/>
    <w:rsid w:val="00BA3A36"/>
    <w:rsid w:val="00BA3CDD"/>
    <w:rsid w:val="00BA7C65"/>
    <w:rsid w:val="00BB114B"/>
    <w:rsid w:val="00BB119F"/>
    <w:rsid w:val="00BB1A3D"/>
    <w:rsid w:val="00BB294B"/>
    <w:rsid w:val="00BB4971"/>
    <w:rsid w:val="00BB4E0C"/>
    <w:rsid w:val="00BB70F7"/>
    <w:rsid w:val="00BC05E5"/>
    <w:rsid w:val="00BC064F"/>
    <w:rsid w:val="00BC0D21"/>
    <w:rsid w:val="00BC53E0"/>
    <w:rsid w:val="00BC63FE"/>
    <w:rsid w:val="00BC64EB"/>
    <w:rsid w:val="00BC78BF"/>
    <w:rsid w:val="00BD0A24"/>
    <w:rsid w:val="00BD26EC"/>
    <w:rsid w:val="00BD28D3"/>
    <w:rsid w:val="00BD2902"/>
    <w:rsid w:val="00BD295D"/>
    <w:rsid w:val="00BD435A"/>
    <w:rsid w:val="00BD4D8A"/>
    <w:rsid w:val="00BD5F0E"/>
    <w:rsid w:val="00BE0635"/>
    <w:rsid w:val="00BE096D"/>
    <w:rsid w:val="00BE0A2E"/>
    <w:rsid w:val="00BE10C3"/>
    <w:rsid w:val="00BE1996"/>
    <w:rsid w:val="00BE2E95"/>
    <w:rsid w:val="00BE4520"/>
    <w:rsid w:val="00BE4760"/>
    <w:rsid w:val="00BE4CC6"/>
    <w:rsid w:val="00BE5FF5"/>
    <w:rsid w:val="00BF2A2F"/>
    <w:rsid w:val="00BF44E8"/>
    <w:rsid w:val="00BF49E2"/>
    <w:rsid w:val="00C00A40"/>
    <w:rsid w:val="00C02EBB"/>
    <w:rsid w:val="00C03BBD"/>
    <w:rsid w:val="00C04433"/>
    <w:rsid w:val="00C05448"/>
    <w:rsid w:val="00C05CFB"/>
    <w:rsid w:val="00C06012"/>
    <w:rsid w:val="00C06ADD"/>
    <w:rsid w:val="00C06B7B"/>
    <w:rsid w:val="00C06C29"/>
    <w:rsid w:val="00C06F66"/>
    <w:rsid w:val="00C076B7"/>
    <w:rsid w:val="00C0777A"/>
    <w:rsid w:val="00C100DE"/>
    <w:rsid w:val="00C11150"/>
    <w:rsid w:val="00C11998"/>
    <w:rsid w:val="00C12468"/>
    <w:rsid w:val="00C129A2"/>
    <w:rsid w:val="00C13213"/>
    <w:rsid w:val="00C15ACA"/>
    <w:rsid w:val="00C16911"/>
    <w:rsid w:val="00C16C04"/>
    <w:rsid w:val="00C176BE"/>
    <w:rsid w:val="00C217E9"/>
    <w:rsid w:val="00C26D06"/>
    <w:rsid w:val="00C277D2"/>
    <w:rsid w:val="00C27D04"/>
    <w:rsid w:val="00C27F49"/>
    <w:rsid w:val="00C30CF5"/>
    <w:rsid w:val="00C322AE"/>
    <w:rsid w:val="00C33ACF"/>
    <w:rsid w:val="00C33BFD"/>
    <w:rsid w:val="00C35D20"/>
    <w:rsid w:val="00C35F97"/>
    <w:rsid w:val="00C40D96"/>
    <w:rsid w:val="00C41527"/>
    <w:rsid w:val="00C41F56"/>
    <w:rsid w:val="00C43830"/>
    <w:rsid w:val="00C4730A"/>
    <w:rsid w:val="00C478C0"/>
    <w:rsid w:val="00C47A44"/>
    <w:rsid w:val="00C500FA"/>
    <w:rsid w:val="00C508CA"/>
    <w:rsid w:val="00C52CDC"/>
    <w:rsid w:val="00C572F5"/>
    <w:rsid w:val="00C57D63"/>
    <w:rsid w:val="00C6014F"/>
    <w:rsid w:val="00C601F7"/>
    <w:rsid w:val="00C61ED3"/>
    <w:rsid w:val="00C6271A"/>
    <w:rsid w:val="00C64B15"/>
    <w:rsid w:val="00C6757F"/>
    <w:rsid w:val="00C6760E"/>
    <w:rsid w:val="00C7064C"/>
    <w:rsid w:val="00C71369"/>
    <w:rsid w:val="00C74206"/>
    <w:rsid w:val="00C74346"/>
    <w:rsid w:val="00C75B42"/>
    <w:rsid w:val="00C776EC"/>
    <w:rsid w:val="00C81A8E"/>
    <w:rsid w:val="00C81E57"/>
    <w:rsid w:val="00C826C8"/>
    <w:rsid w:val="00C82B25"/>
    <w:rsid w:val="00C84133"/>
    <w:rsid w:val="00C84850"/>
    <w:rsid w:val="00C850B1"/>
    <w:rsid w:val="00C87943"/>
    <w:rsid w:val="00C91CB9"/>
    <w:rsid w:val="00C9286B"/>
    <w:rsid w:val="00C93295"/>
    <w:rsid w:val="00C94938"/>
    <w:rsid w:val="00C954E6"/>
    <w:rsid w:val="00C957F8"/>
    <w:rsid w:val="00C96935"/>
    <w:rsid w:val="00C96EF6"/>
    <w:rsid w:val="00C976BD"/>
    <w:rsid w:val="00CA0087"/>
    <w:rsid w:val="00CA1E0F"/>
    <w:rsid w:val="00CA32D2"/>
    <w:rsid w:val="00CA33E8"/>
    <w:rsid w:val="00CA3AF4"/>
    <w:rsid w:val="00CA6339"/>
    <w:rsid w:val="00CA7F57"/>
    <w:rsid w:val="00CB0351"/>
    <w:rsid w:val="00CB20F4"/>
    <w:rsid w:val="00CB2D9A"/>
    <w:rsid w:val="00CB3875"/>
    <w:rsid w:val="00CB4F19"/>
    <w:rsid w:val="00CB5196"/>
    <w:rsid w:val="00CB591E"/>
    <w:rsid w:val="00CB5FC3"/>
    <w:rsid w:val="00CB6A81"/>
    <w:rsid w:val="00CB70F7"/>
    <w:rsid w:val="00CB7872"/>
    <w:rsid w:val="00CC012C"/>
    <w:rsid w:val="00CC17C7"/>
    <w:rsid w:val="00CC2959"/>
    <w:rsid w:val="00CC3BA5"/>
    <w:rsid w:val="00CC534D"/>
    <w:rsid w:val="00CC6441"/>
    <w:rsid w:val="00CC67FB"/>
    <w:rsid w:val="00CC6A59"/>
    <w:rsid w:val="00CC6C01"/>
    <w:rsid w:val="00CC6D70"/>
    <w:rsid w:val="00CC76CC"/>
    <w:rsid w:val="00CC7950"/>
    <w:rsid w:val="00CD0252"/>
    <w:rsid w:val="00CD3206"/>
    <w:rsid w:val="00CD34F1"/>
    <w:rsid w:val="00CD4349"/>
    <w:rsid w:val="00CD5154"/>
    <w:rsid w:val="00CD718C"/>
    <w:rsid w:val="00CD7FE7"/>
    <w:rsid w:val="00CE01E9"/>
    <w:rsid w:val="00CE0726"/>
    <w:rsid w:val="00CE0F6E"/>
    <w:rsid w:val="00CE1E60"/>
    <w:rsid w:val="00CE2987"/>
    <w:rsid w:val="00CE2DF3"/>
    <w:rsid w:val="00CE44F1"/>
    <w:rsid w:val="00CE5845"/>
    <w:rsid w:val="00CE6D05"/>
    <w:rsid w:val="00CF0238"/>
    <w:rsid w:val="00CF2665"/>
    <w:rsid w:val="00CF31BE"/>
    <w:rsid w:val="00CF3CD6"/>
    <w:rsid w:val="00CF3DA0"/>
    <w:rsid w:val="00CF4170"/>
    <w:rsid w:val="00CF4322"/>
    <w:rsid w:val="00CF4348"/>
    <w:rsid w:val="00CF44B5"/>
    <w:rsid w:val="00CF5471"/>
    <w:rsid w:val="00CF6036"/>
    <w:rsid w:val="00CF63A7"/>
    <w:rsid w:val="00CF6780"/>
    <w:rsid w:val="00CF6D08"/>
    <w:rsid w:val="00CF7468"/>
    <w:rsid w:val="00D005CB"/>
    <w:rsid w:val="00D01510"/>
    <w:rsid w:val="00D037E3"/>
    <w:rsid w:val="00D0450F"/>
    <w:rsid w:val="00D0472D"/>
    <w:rsid w:val="00D04CF4"/>
    <w:rsid w:val="00D0548D"/>
    <w:rsid w:val="00D10A24"/>
    <w:rsid w:val="00D11490"/>
    <w:rsid w:val="00D11A8F"/>
    <w:rsid w:val="00D11D18"/>
    <w:rsid w:val="00D13744"/>
    <w:rsid w:val="00D165C9"/>
    <w:rsid w:val="00D16B78"/>
    <w:rsid w:val="00D21EB1"/>
    <w:rsid w:val="00D221A0"/>
    <w:rsid w:val="00D24E77"/>
    <w:rsid w:val="00D25692"/>
    <w:rsid w:val="00D26692"/>
    <w:rsid w:val="00D26BCD"/>
    <w:rsid w:val="00D30401"/>
    <w:rsid w:val="00D30E89"/>
    <w:rsid w:val="00D313DB"/>
    <w:rsid w:val="00D31605"/>
    <w:rsid w:val="00D33545"/>
    <w:rsid w:val="00D338B8"/>
    <w:rsid w:val="00D34639"/>
    <w:rsid w:val="00D34920"/>
    <w:rsid w:val="00D35181"/>
    <w:rsid w:val="00D35478"/>
    <w:rsid w:val="00D354D9"/>
    <w:rsid w:val="00D35513"/>
    <w:rsid w:val="00D36FD9"/>
    <w:rsid w:val="00D37069"/>
    <w:rsid w:val="00D37174"/>
    <w:rsid w:val="00D40E9A"/>
    <w:rsid w:val="00D42D23"/>
    <w:rsid w:val="00D4330F"/>
    <w:rsid w:val="00D43D20"/>
    <w:rsid w:val="00D443F9"/>
    <w:rsid w:val="00D4493F"/>
    <w:rsid w:val="00D44D4A"/>
    <w:rsid w:val="00D453B1"/>
    <w:rsid w:val="00D45A30"/>
    <w:rsid w:val="00D4609D"/>
    <w:rsid w:val="00D46CE6"/>
    <w:rsid w:val="00D46ECF"/>
    <w:rsid w:val="00D50824"/>
    <w:rsid w:val="00D50D9B"/>
    <w:rsid w:val="00D531E0"/>
    <w:rsid w:val="00D5462F"/>
    <w:rsid w:val="00D5478B"/>
    <w:rsid w:val="00D55685"/>
    <w:rsid w:val="00D607FB"/>
    <w:rsid w:val="00D61649"/>
    <w:rsid w:val="00D617CD"/>
    <w:rsid w:val="00D61A9E"/>
    <w:rsid w:val="00D61B42"/>
    <w:rsid w:val="00D61D60"/>
    <w:rsid w:val="00D6217C"/>
    <w:rsid w:val="00D62CE1"/>
    <w:rsid w:val="00D62D34"/>
    <w:rsid w:val="00D62F75"/>
    <w:rsid w:val="00D63CA3"/>
    <w:rsid w:val="00D649BC"/>
    <w:rsid w:val="00D65189"/>
    <w:rsid w:val="00D6634E"/>
    <w:rsid w:val="00D66B83"/>
    <w:rsid w:val="00D66F88"/>
    <w:rsid w:val="00D71E4A"/>
    <w:rsid w:val="00D71ECD"/>
    <w:rsid w:val="00D741CB"/>
    <w:rsid w:val="00D74BCD"/>
    <w:rsid w:val="00D76289"/>
    <w:rsid w:val="00D766B5"/>
    <w:rsid w:val="00D76A95"/>
    <w:rsid w:val="00D7744D"/>
    <w:rsid w:val="00D8084C"/>
    <w:rsid w:val="00D830F0"/>
    <w:rsid w:val="00D8399C"/>
    <w:rsid w:val="00D9030D"/>
    <w:rsid w:val="00D904F2"/>
    <w:rsid w:val="00D90A2C"/>
    <w:rsid w:val="00D915AA"/>
    <w:rsid w:val="00D92980"/>
    <w:rsid w:val="00D94D74"/>
    <w:rsid w:val="00D962DB"/>
    <w:rsid w:val="00D96771"/>
    <w:rsid w:val="00DA0190"/>
    <w:rsid w:val="00DA2A61"/>
    <w:rsid w:val="00DA38FC"/>
    <w:rsid w:val="00DA3ED6"/>
    <w:rsid w:val="00DA4C69"/>
    <w:rsid w:val="00DA5984"/>
    <w:rsid w:val="00DA71A6"/>
    <w:rsid w:val="00DA770B"/>
    <w:rsid w:val="00DB0662"/>
    <w:rsid w:val="00DB06D7"/>
    <w:rsid w:val="00DB2257"/>
    <w:rsid w:val="00DB27C0"/>
    <w:rsid w:val="00DB2BD2"/>
    <w:rsid w:val="00DB3191"/>
    <w:rsid w:val="00DB3D81"/>
    <w:rsid w:val="00DB4147"/>
    <w:rsid w:val="00DB603D"/>
    <w:rsid w:val="00DB6B20"/>
    <w:rsid w:val="00DB744E"/>
    <w:rsid w:val="00DC1755"/>
    <w:rsid w:val="00DC1DEF"/>
    <w:rsid w:val="00DC24FD"/>
    <w:rsid w:val="00DC3754"/>
    <w:rsid w:val="00DC4BEF"/>
    <w:rsid w:val="00DC69CA"/>
    <w:rsid w:val="00DC7E55"/>
    <w:rsid w:val="00DD0B9F"/>
    <w:rsid w:val="00DD1995"/>
    <w:rsid w:val="00DD2B23"/>
    <w:rsid w:val="00DD3661"/>
    <w:rsid w:val="00DD4848"/>
    <w:rsid w:val="00DD645B"/>
    <w:rsid w:val="00DD681F"/>
    <w:rsid w:val="00DE0454"/>
    <w:rsid w:val="00DE200D"/>
    <w:rsid w:val="00DE3384"/>
    <w:rsid w:val="00DE44B1"/>
    <w:rsid w:val="00DE4B61"/>
    <w:rsid w:val="00DE4EDF"/>
    <w:rsid w:val="00DE7A01"/>
    <w:rsid w:val="00DF070D"/>
    <w:rsid w:val="00DF0B31"/>
    <w:rsid w:val="00DF2019"/>
    <w:rsid w:val="00DF204A"/>
    <w:rsid w:val="00DF38EA"/>
    <w:rsid w:val="00DF4DC5"/>
    <w:rsid w:val="00DF5107"/>
    <w:rsid w:val="00DF63C9"/>
    <w:rsid w:val="00DF6BA1"/>
    <w:rsid w:val="00DF7260"/>
    <w:rsid w:val="00DF74F2"/>
    <w:rsid w:val="00DF7C3B"/>
    <w:rsid w:val="00E00160"/>
    <w:rsid w:val="00E012E1"/>
    <w:rsid w:val="00E01B2A"/>
    <w:rsid w:val="00E01FD8"/>
    <w:rsid w:val="00E022FD"/>
    <w:rsid w:val="00E02DAE"/>
    <w:rsid w:val="00E02EB9"/>
    <w:rsid w:val="00E04FCB"/>
    <w:rsid w:val="00E0711C"/>
    <w:rsid w:val="00E07719"/>
    <w:rsid w:val="00E07AAC"/>
    <w:rsid w:val="00E07F54"/>
    <w:rsid w:val="00E1234D"/>
    <w:rsid w:val="00E1293D"/>
    <w:rsid w:val="00E13DEA"/>
    <w:rsid w:val="00E158F1"/>
    <w:rsid w:val="00E1643A"/>
    <w:rsid w:val="00E16FD3"/>
    <w:rsid w:val="00E1735D"/>
    <w:rsid w:val="00E20E10"/>
    <w:rsid w:val="00E21E39"/>
    <w:rsid w:val="00E22834"/>
    <w:rsid w:val="00E2349A"/>
    <w:rsid w:val="00E23F69"/>
    <w:rsid w:val="00E24B39"/>
    <w:rsid w:val="00E24F5C"/>
    <w:rsid w:val="00E27897"/>
    <w:rsid w:val="00E320AA"/>
    <w:rsid w:val="00E3293C"/>
    <w:rsid w:val="00E33848"/>
    <w:rsid w:val="00E36DC2"/>
    <w:rsid w:val="00E3D8D4"/>
    <w:rsid w:val="00E410A0"/>
    <w:rsid w:val="00E41E8C"/>
    <w:rsid w:val="00E42AD3"/>
    <w:rsid w:val="00E43235"/>
    <w:rsid w:val="00E45998"/>
    <w:rsid w:val="00E4752A"/>
    <w:rsid w:val="00E54B60"/>
    <w:rsid w:val="00E563A5"/>
    <w:rsid w:val="00E568D4"/>
    <w:rsid w:val="00E57F6C"/>
    <w:rsid w:val="00E61897"/>
    <w:rsid w:val="00E61F43"/>
    <w:rsid w:val="00E62DC3"/>
    <w:rsid w:val="00E644E4"/>
    <w:rsid w:val="00E659C2"/>
    <w:rsid w:val="00E66237"/>
    <w:rsid w:val="00E66F3C"/>
    <w:rsid w:val="00E6785E"/>
    <w:rsid w:val="00E70C0C"/>
    <w:rsid w:val="00E7175B"/>
    <w:rsid w:val="00E72248"/>
    <w:rsid w:val="00E729A2"/>
    <w:rsid w:val="00E7508B"/>
    <w:rsid w:val="00E753AF"/>
    <w:rsid w:val="00E75776"/>
    <w:rsid w:val="00E76079"/>
    <w:rsid w:val="00E7654F"/>
    <w:rsid w:val="00E76C2A"/>
    <w:rsid w:val="00E76C2C"/>
    <w:rsid w:val="00E80539"/>
    <w:rsid w:val="00E8093C"/>
    <w:rsid w:val="00E80D6C"/>
    <w:rsid w:val="00E81675"/>
    <w:rsid w:val="00E82DC6"/>
    <w:rsid w:val="00E8395F"/>
    <w:rsid w:val="00E839A9"/>
    <w:rsid w:val="00E86E4E"/>
    <w:rsid w:val="00E87329"/>
    <w:rsid w:val="00E87649"/>
    <w:rsid w:val="00E916A5"/>
    <w:rsid w:val="00E928B9"/>
    <w:rsid w:val="00E936C7"/>
    <w:rsid w:val="00E94238"/>
    <w:rsid w:val="00E96807"/>
    <w:rsid w:val="00E970AA"/>
    <w:rsid w:val="00EA032C"/>
    <w:rsid w:val="00EA032D"/>
    <w:rsid w:val="00EA160D"/>
    <w:rsid w:val="00EA2119"/>
    <w:rsid w:val="00EA4BF1"/>
    <w:rsid w:val="00EA5F12"/>
    <w:rsid w:val="00EA5F1B"/>
    <w:rsid w:val="00EB1D02"/>
    <w:rsid w:val="00EB20C3"/>
    <w:rsid w:val="00EB54BA"/>
    <w:rsid w:val="00EC06C9"/>
    <w:rsid w:val="00EC0B14"/>
    <w:rsid w:val="00EC0C17"/>
    <w:rsid w:val="00EC2DA1"/>
    <w:rsid w:val="00EC4DA4"/>
    <w:rsid w:val="00EC595D"/>
    <w:rsid w:val="00EC6794"/>
    <w:rsid w:val="00EC6CC5"/>
    <w:rsid w:val="00EC7C6B"/>
    <w:rsid w:val="00ED035A"/>
    <w:rsid w:val="00ED0A8A"/>
    <w:rsid w:val="00ED17B8"/>
    <w:rsid w:val="00ED1B8D"/>
    <w:rsid w:val="00ED29C4"/>
    <w:rsid w:val="00ED2C1D"/>
    <w:rsid w:val="00ED3ED5"/>
    <w:rsid w:val="00ED6911"/>
    <w:rsid w:val="00ED6C79"/>
    <w:rsid w:val="00EE1569"/>
    <w:rsid w:val="00EE2660"/>
    <w:rsid w:val="00EE34E3"/>
    <w:rsid w:val="00EE49B7"/>
    <w:rsid w:val="00EE7185"/>
    <w:rsid w:val="00EF0941"/>
    <w:rsid w:val="00EF18A9"/>
    <w:rsid w:val="00EF2E59"/>
    <w:rsid w:val="00EF326D"/>
    <w:rsid w:val="00EF3D2A"/>
    <w:rsid w:val="00EF5A8D"/>
    <w:rsid w:val="00EF601E"/>
    <w:rsid w:val="00EF6711"/>
    <w:rsid w:val="00EF67F4"/>
    <w:rsid w:val="00EF6A38"/>
    <w:rsid w:val="00EF6CC3"/>
    <w:rsid w:val="00EF6E5C"/>
    <w:rsid w:val="00F00B40"/>
    <w:rsid w:val="00F03351"/>
    <w:rsid w:val="00F04F2C"/>
    <w:rsid w:val="00F050CE"/>
    <w:rsid w:val="00F05F2F"/>
    <w:rsid w:val="00F074B3"/>
    <w:rsid w:val="00F075EF"/>
    <w:rsid w:val="00F11AF1"/>
    <w:rsid w:val="00F1320E"/>
    <w:rsid w:val="00F14D4E"/>
    <w:rsid w:val="00F17D87"/>
    <w:rsid w:val="00F21A3A"/>
    <w:rsid w:val="00F23FB9"/>
    <w:rsid w:val="00F24B68"/>
    <w:rsid w:val="00F27409"/>
    <w:rsid w:val="00F27A05"/>
    <w:rsid w:val="00F27EF6"/>
    <w:rsid w:val="00F31863"/>
    <w:rsid w:val="00F31FF8"/>
    <w:rsid w:val="00F32746"/>
    <w:rsid w:val="00F341BD"/>
    <w:rsid w:val="00F40B62"/>
    <w:rsid w:val="00F41180"/>
    <w:rsid w:val="00F46645"/>
    <w:rsid w:val="00F466BE"/>
    <w:rsid w:val="00F46F34"/>
    <w:rsid w:val="00F46F43"/>
    <w:rsid w:val="00F4756C"/>
    <w:rsid w:val="00F52516"/>
    <w:rsid w:val="00F536B5"/>
    <w:rsid w:val="00F53CF5"/>
    <w:rsid w:val="00F54301"/>
    <w:rsid w:val="00F54F22"/>
    <w:rsid w:val="00F56E2D"/>
    <w:rsid w:val="00F57446"/>
    <w:rsid w:val="00F609D8"/>
    <w:rsid w:val="00F61D95"/>
    <w:rsid w:val="00F62A65"/>
    <w:rsid w:val="00F64EEE"/>
    <w:rsid w:val="00F64F0C"/>
    <w:rsid w:val="00F65E95"/>
    <w:rsid w:val="00F6613F"/>
    <w:rsid w:val="00F666F6"/>
    <w:rsid w:val="00F67F5E"/>
    <w:rsid w:val="00F73431"/>
    <w:rsid w:val="00F73C15"/>
    <w:rsid w:val="00F76254"/>
    <w:rsid w:val="00F76909"/>
    <w:rsid w:val="00F77B56"/>
    <w:rsid w:val="00F80138"/>
    <w:rsid w:val="00F80646"/>
    <w:rsid w:val="00F80B86"/>
    <w:rsid w:val="00F82696"/>
    <w:rsid w:val="00F82C33"/>
    <w:rsid w:val="00F8370B"/>
    <w:rsid w:val="00F86645"/>
    <w:rsid w:val="00F86D1B"/>
    <w:rsid w:val="00F949A5"/>
    <w:rsid w:val="00F954DD"/>
    <w:rsid w:val="00F96742"/>
    <w:rsid w:val="00FA05A4"/>
    <w:rsid w:val="00FA33E2"/>
    <w:rsid w:val="00FA3649"/>
    <w:rsid w:val="00FA5D46"/>
    <w:rsid w:val="00FA5DD8"/>
    <w:rsid w:val="00FA6078"/>
    <w:rsid w:val="00FA672F"/>
    <w:rsid w:val="00FA799D"/>
    <w:rsid w:val="00FA7A39"/>
    <w:rsid w:val="00FB09A0"/>
    <w:rsid w:val="00FB1FEE"/>
    <w:rsid w:val="00FB2244"/>
    <w:rsid w:val="00FB4877"/>
    <w:rsid w:val="00FB6B16"/>
    <w:rsid w:val="00FB744C"/>
    <w:rsid w:val="00FC0C66"/>
    <w:rsid w:val="00FC0C73"/>
    <w:rsid w:val="00FC103F"/>
    <w:rsid w:val="00FC11B4"/>
    <w:rsid w:val="00FC11D3"/>
    <w:rsid w:val="00FC42DD"/>
    <w:rsid w:val="00FC4A7E"/>
    <w:rsid w:val="00FC5C03"/>
    <w:rsid w:val="00FC60FB"/>
    <w:rsid w:val="00FC639B"/>
    <w:rsid w:val="00FD0443"/>
    <w:rsid w:val="00FD2601"/>
    <w:rsid w:val="00FD37CF"/>
    <w:rsid w:val="00FD3E5B"/>
    <w:rsid w:val="00FD4B13"/>
    <w:rsid w:val="00FD4B85"/>
    <w:rsid w:val="00FD5532"/>
    <w:rsid w:val="00FD5C1C"/>
    <w:rsid w:val="00FD600B"/>
    <w:rsid w:val="00FD6377"/>
    <w:rsid w:val="00FD6BA0"/>
    <w:rsid w:val="00FD6EDA"/>
    <w:rsid w:val="00FD7E0B"/>
    <w:rsid w:val="00FE298A"/>
    <w:rsid w:val="00FE33DD"/>
    <w:rsid w:val="00FE3CEF"/>
    <w:rsid w:val="00FE430D"/>
    <w:rsid w:val="00FE45ED"/>
    <w:rsid w:val="00FE7E14"/>
    <w:rsid w:val="00FF0639"/>
    <w:rsid w:val="00FF375D"/>
    <w:rsid w:val="00FF3C1B"/>
    <w:rsid w:val="00FF44DE"/>
    <w:rsid w:val="00FF4966"/>
    <w:rsid w:val="00FF4EBF"/>
    <w:rsid w:val="00FF5E20"/>
    <w:rsid w:val="012BD96E"/>
    <w:rsid w:val="01488C89"/>
    <w:rsid w:val="01C14032"/>
    <w:rsid w:val="02203987"/>
    <w:rsid w:val="024062C5"/>
    <w:rsid w:val="0243029B"/>
    <w:rsid w:val="02463FF4"/>
    <w:rsid w:val="025C5CCE"/>
    <w:rsid w:val="02C8CDF2"/>
    <w:rsid w:val="031F6FB2"/>
    <w:rsid w:val="03746F13"/>
    <w:rsid w:val="038A03BD"/>
    <w:rsid w:val="03A0844E"/>
    <w:rsid w:val="03AEC4FD"/>
    <w:rsid w:val="03B8A2DE"/>
    <w:rsid w:val="03C00328"/>
    <w:rsid w:val="03FA78D7"/>
    <w:rsid w:val="04345A9F"/>
    <w:rsid w:val="043713B1"/>
    <w:rsid w:val="043B9A3F"/>
    <w:rsid w:val="043EC616"/>
    <w:rsid w:val="04637A30"/>
    <w:rsid w:val="04655BBD"/>
    <w:rsid w:val="046E5B9E"/>
    <w:rsid w:val="04A40FF4"/>
    <w:rsid w:val="04B49D9D"/>
    <w:rsid w:val="05175E00"/>
    <w:rsid w:val="0525D41E"/>
    <w:rsid w:val="0560B57B"/>
    <w:rsid w:val="0570317D"/>
    <w:rsid w:val="057FF10D"/>
    <w:rsid w:val="05F13673"/>
    <w:rsid w:val="06306CDC"/>
    <w:rsid w:val="06769C5D"/>
    <w:rsid w:val="068F4904"/>
    <w:rsid w:val="0697D8C3"/>
    <w:rsid w:val="06D039E8"/>
    <w:rsid w:val="06E2B7BF"/>
    <w:rsid w:val="06E665BF"/>
    <w:rsid w:val="0732845B"/>
    <w:rsid w:val="074BEFEA"/>
    <w:rsid w:val="075094E3"/>
    <w:rsid w:val="075EA4DA"/>
    <w:rsid w:val="0763E1BA"/>
    <w:rsid w:val="07670F00"/>
    <w:rsid w:val="07A015F6"/>
    <w:rsid w:val="07AA2ABA"/>
    <w:rsid w:val="07FDB117"/>
    <w:rsid w:val="0833A924"/>
    <w:rsid w:val="084BA0E9"/>
    <w:rsid w:val="086C1F9B"/>
    <w:rsid w:val="08A90E75"/>
    <w:rsid w:val="08C9DA1E"/>
    <w:rsid w:val="09951455"/>
    <w:rsid w:val="0A63F976"/>
    <w:rsid w:val="0AAB76A7"/>
    <w:rsid w:val="0AD3B450"/>
    <w:rsid w:val="0AD4A524"/>
    <w:rsid w:val="0AF45C81"/>
    <w:rsid w:val="0AF8288D"/>
    <w:rsid w:val="0B0286DB"/>
    <w:rsid w:val="0B1A2EF7"/>
    <w:rsid w:val="0B8A5820"/>
    <w:rsid w:val="0B91BC16"/>
    <w:rsid w:val="0BE19B63"/>
    <w:rsid w:val="0C142739"/>
    <w:rsid w:val="0C3752DD"/>
    <w:rsid w:val="0C37D2DB"/>
    <w:rsid w:val="0C44B54C"/>
    <w:rsid w:val="0C519B00"/>
    <w:rsid w:val="0C92348D"/>
    <w:rsid w:val="0CA2333B"/>
    <w:rsid w:val="0CC0EED5"/>
    <w:rsid w:val="0CD82447"/>
    <w:rsid w:val="0CE1C8C3"/>
    <w:rsid w:val="0CF14151"/>
    <w:rsid w:val="0D71DA95"/>
    <w:rsid w:val="0D858088"/>
    <w:rsid w:val="0DCD4373"/>
    <w:rsid w:val="0DE7CE55"/>
    <w:rsid w:val="0DFCB528"/>
    <w:rsid w:val="0E12FB74"/>
    <w:rsid w:val="0E29733F"/>
    <w:rsid w:val="0E5AE60D"/>
    <w:rsid w:val="0E5AFF1C"/>
    <w:rsid w:val="0E7D9924"/>
    <w:rsid w:val="0E9867D9"/>
    <w:rsid w:val="0EC40896"/>
    <w:rsid w:val="0EEF628A"/>
    <w:rsid w:val="0EF13099"/>
    <w:rsid w:val="0F31B266"/>
    <w:rsid w:val="0F543BCA"/>
    <w:rsid w:val="0F7EB49A"/>
    <w:rsid w:val="0F81B358"/>
    <w:rsid w:val="0F8E29AE"/>
    <w:rsid w:val="0F8EE3F8"/>
    <w:rsid w:val="0FA8BD13"/>
    <w:rsid w:val="0FEEB173"/>
    <w:rsid w:val="0FF2FE39"/>
    <w:rsid w:val="0FF82CD9"/>
    <w:rsid w:val="1008A414"/>
    <w:rsid w:val="1027E465"/>
    <w:rsid w:val="105D14B4"/>
    <w:rsid w:val="1123DD33"/>
    <w:rsid w:val="115B5335"/>
    <w:rsid w:val="1172226E"/>
    <w:rsid w:val="117D36DA"/>
    <w:rsid w:val="118ECA87"/>
    <w:rsid w:val="119286CF"/>
    <w:rsid w:val="11F7E88F"/>
    <w:rsid w:val="11F9AEBF"/>
    <w:rsid w:val="121CF991"/>
    <w:rsid w:val="1236A871"/>
    <w:rsid w:val="1238F932"/>
    <w:rsid w:val="123DA598"/>
    <w:rsid w:val="124E11D3"/>
    <w:rsid w:val="124F83BF"/>
    <w:rsid w:val="12540832"/>
    <w:rsid w:val="12728CB1"/>
    <w:rsid w:val="12894242"/>
    <w:rsid w:val="129156BD"/>
    <w:rsid w:val="12BCB3BC"/>
    <w:rsid w:val="1300D6F5"/>
    <w:rsid w:val="131C6B1F"/>
    <w:rsid w:val="131C904B"/>
    <w:rsid w:val="132A9EC2"/>
    <w:rsid w:val="135433D3"/>
    <w:rsid w:val="13963E19"/>
    <w:rsid w:val="13F44EC1"/>
    <w:rsid w:val="1426D9A4"/>
    <w:rsid w:val="145A7986"/>
    <w:rsid w:val="145AA727"/>
    <w:rsid w:val="146118C7"/>
    <w:rsid w:val="146966F6"/>
    <w:rsid w:val="14A8DFAE"/>
    <w:rsid w:val="14B53138"/>
    <w:rsid w:val="14CEE33B"/>
    <w:rsid w:val="15004FB8"/>
    <w:rsid w:val="1529C68E"/>
    <w:rsid w:val="15369B13"/>
    <w:rsid w:val="1576A0C2"/>
    <w:rsid w:val="159D2C14"/>
    <w:rsid w:val="15BA69D0"/>
    <w:rsid w:val="15E507AD"/>
    <w:rsid w:val="163AA25A"/>
    <w:rsid w:val="1655A06E"/>
    <w:rsid w:val="16644A99"/>
    <w:rsid w:val="168E7D44"/>
    <w:rsid w:val="169C5681"/>
    <w:rsid w:val="16B35B6A"/>
    <w:rsid w:val="16C8418C"/>
    <w:rsid w:val="16D26B74"/>
    <w:rsid w:val="16FBBEFD"/>
    <w:rsid w:val="1705217B"/>
    <w:rsid w:val="170BF360"/>
    <w:rsid w:val="1775D30D"/>
    <w:rsid w:val="1803229A"/>
    <w:rsid w:val="18049248"/>
    <w:rsid w:val="180A47C5"/>
    <w:rsid w:val="180BC20B"/>
    <w:rsid w:val="181BE83D"/>
    <w:rsid w:val="183F82F6"/>
    <w:rsid w:val="185BF94E"/>
    <w:rsid w:val="187CC83E"/>
    <w:rsid w:val="18932453"/>
    <w:rsid w:val="18B48D3C"/>
    <w:rsid w:val="19268D97"/>
    <w:rsid w:val="194D70E0"/>
    <w:rsid w:val="19E3CFBF"/>
    <w:rsid w:val="19FB8198"/>
    <w:rsid w:val="19FF4C8A"/>
    <w:rsid w:val="1A333EB9"/>
    <w:rsid w:val="1A5B3380"/>
    <w:rsid w:val="1A7EC16D"/>
    <w:rsid w:val="1AC037E5"/>
    <w:rsid w:val="1ADBB1C9"/>
    <w:rsid w:val="1B3DD386"/>
    <w:rsid w:val="1B4A2219"/>
    <w:rsid w:val="1B79F945"/>
    <w:rsid w:val="1B89629B"/>
    <w:rsid w:val="1B8C56DD"/>
    <w:rsid w:val="1B9EF05F"/>
    <w:rsid w:val="1BA6E6BE"/>
    <w:rsid w:val="1BEC2DFE"/>
    <w:rsid w:val="1C0BB173"/>
    <w:rsid w:val="1C121422"/>
    <w:rsid w:val="1C248F39"/>
    <w:rsid w:val="1C4A7B8C"/>
    <w:rsid w:val="1C79F808"/>
    <w:rsid w:val="1C8AE56F"/>
    <w:rsid w:val="1D823B82"/>
    <w:rsid w:val="1DC2EF0D"/>
    <w:rsid w:val="1DF0CC23"/>
    <w:rsid w:val="1E192AB8"/>
    <w:rsid w:val="1E2626EE"/>
    <w:rsid w:val="1E8EE7E1"/>
    <w:rsid w:val="1E98F1FF"/>
    <w:rsid w:val="1EBADE54"/>
    <w:rsid w:val="1EBB17B5"/>
    <w:rsid w:val="1EBC3C8E"/>
    <w:rsid w:val="1EBF027F"/>
    <w:rsid w:val="1EC454FC"/>
    <w:rsid w:val="1EF6D5A1"/>
    <w:rsid w:val="1F18120A"/>
    <w:rsid w:val="1F23ED6B"/>
    <w:rsid w:val="1F5C96D7"/>
    <w:rsid w:val="1F835EF2"/>
    <w:rsid w:val="1FAEF778"/>
    <w:rsid w:val="1FDDB405"/>
    <w:rsid w:val="20364E43"/>
    <w:rsid w:val="204E7D30"/>
    <w:rsid w:val="20508875"/>
    <w:rsid w:val="2058C52A"/>
    <w:rsid w:val="205A1539"/>
    <w:rsid w:val="205A3B68"/>
    <w:rsid w:val="206855E8"/>
    <w:rsid w:val="20989F2A"/>
    <w:rsid w:val="20EE7ADF"/>
    <w:rsid w:val="20F58AD5"/>
    <w:rsid w:val="210568C0"/>
    <w:rsid w:val="2124EB4D"/>
    <w:rsid w:val="212B8A99"/>
    <w:rsid w:val="2137010D"/>
    <w:rsid w:val="213721D0"/>
    <w:rsid w:val="21B04108"/>
    <w:rsid w:val="21BE8CEB"/>
    <w:rsid w:val="21C029A4"/>
    <w:rsid w:val="21D674C2"/>
    <w:rsid w:val="21DDD7AA"/>
    <w:rsid w:val="22101053"/>
    <w:rsid w:val="223C6E8B"/>
    <w:rsid w:val="223D55B4"/>
    <w:rsid w:val="2246BB9E"/>
    <w:rsid w:val="2248E95B"/>
    <w:rsid w:val="225EC1A9"/>
    <w:rsid w:val="2272C577"/>
    <w:rsid w:val="227CAB3B"/>
    <w:rsid w:val="2286E5F3"/>
    <w:rsid w:val="22CB49CA"/>
    <w:rsid w:val="22FA1786"/>
    <w:rsid w:val="23077CEB"/>
    <w:rsid w:val="2337188B"/>
    <w:rsid w:val="234BB746"/>
    <w:rsid w:val="23DF9FC5"/>
    <w:rsid w:val="23FB9499"/>
    <w:rsid w:val="2436213D"/>
    <w:rsid w:val="245C67B2"/>
    <w:rsid w:val="245FEB90"/>
    <w:rsid w:val="24671A2B"/>
    <w:rsid w:val="24EDADBB"/>
    <w:rsid w:val="24F6B00C"/>
    <w:rsid w:val="2598ED73"/>
    <w:rsid w:val="259DCCCC"/>
    <w:rsid w:val="25C4F67C"/>
    <w:rsid w:val="25FC4673"/>
    <w:rsid w:val="260318FD"/>
    <w:rsid w:val="260EFE73"/>
    <w:rsid w:val="261B7B71"/>
    <w:rsid w:val="26239723"/>
    <w:rsid w:val="2639C3AD"/>
    <w:rsid w:val="2640FB67"/>
    <w:rsid w:val="2645A683"/>
    <w:rsid w:val="264C4438"/>
    <w:rsid w:val="266A7D77"/>
    <w:rsid w:val="2680F8D6"/>
    <w:rsid w:val="26DF88B3"/>
    <w:rsid w:val="26E2D571"/>
    <w:rsid w:val="272C6195"/>
    <w:rsid w:val="272E5398"/>
    <w:rsid w:val="274E2B1F"/>
    <w:rsid w:val="27904CF5"/>
    <w:rsid w:val="279816D4"/>
    <w:rsid w:val="27B70DA3"/>
    <w:rsid w:val="27D3255E"/>
    <w:rsid w:val="28638F6A"/>
    <w:rsid w:val="28969BC4"/>
    <w:rsid w:val="28F5222A"/>
    <w:rsid w:val="2952DE04"/>
    <w:rsid w:val="295D16E7"/>
    <w:rsid w:val="2983229E"/>
    <w:rsid w:val="2985D59E"/>
    <w:rsid w:val="2995C00F"/>
    <w:rsid w:val="299CA56E"/>
    <w:rsid w:val="29A2E961"/>
    <w:rsid w:val="29D655D3"/>
    <w:rsid w:val="29E92C6A"/>
    <w:rsid w:val="29ECE592"/>
    <w:rsid w:val="2A0B9D9F"/>
    <w:rsid w:val="2A630C2F"/>
    <w:rsid w:val="2A6C7F72"/>
    <w:rsid w:val="2AF63DFD"/>
    <w:rsid w:val="2B1305FC"/>
    <w:rsid w:val="2BAD4EF2"/>
    <w:rsid w:val="2C0A6524"/>
    <w:rsid w:val="2C1E5A32"/>
    <w:rsid w:val="2C5545C8"/>
    <w:rsid w:val="2C94DEE7"/>
    <w:rsid w:val="2C97D687"/>
    <w:rsid w:val="2CE3EEC5"/>
    <w:rsid w:val="2D31CC62"/>
    <w:rsid w:val="2D329957"/>
    <w:rsid w:val="2D3EA217"/>
    <w:rsid w:val="2D489934"/>
    <w:rsid w:val="2D621426"/>
    <w:rsid w:val="2D92278D"/>
    <w:rsid w:val="2DD66DD2"/>
    <w:rsid w:val="2DE311F1"/>
    <w:rsid w:val="2E0BA9F8"/>
    <w:rsid w:val="2E295A35"/>
    <w:rsid w:val="2E7901CB"/>
    <w:rsid w:val="2E98D043"/>
    <w:rsid w:val="2EACF270"/>
    <w:rsid w:val="2ECE6D04"/>
    <w:rsid w:val="2F3020AF"/>
    <w:rsid w:val="2F4C5C54"/>
    <w:rsid w:val="2F779196"/>
    <w:rsid w:val="2F7BC24B"/>
    <w:rsid w:val="2F8465DB"/>
    <w:rsid w:val="2F8A005C"/>
    <w:rsid w:val="301E756D"/>
    <w:rsid w:val="303AE845"/>
    <w:rsid w:val="304892A4"/>
    <w:rsid w:val="304F44F7"/>
    <w:rsid w:val="305A4749"/>
    <w:rsid w:val="3066FAED"/>
    <w:rsid w:val="307294D9"/>
    <w:rsid w:val="30756D8B"/>
    <w:rsid w:val="308BDF8E"/>
    <w:rsid w:val="30C15679"/>
    <w:rsid w:val="30D186D2"/>
    <w:rsid w:val="30E20F95"/>
    <w:rsid w:val="30E57509"/>
    <w:rsid w:val="310C4C68"/>
    <w:rsid w:val="3124BADC"/>
    <w:rsid w:val="3130E0DF"/>
    <w:rsid w:val="314D8AB9"/>
    <w:rsid w:val="314D948B"/>
    <w:rsid w:val="3168CF8A"/>
    <w:rsid w:val="317DFD17"/>
    <w:rsid w:val="31C985DE"/>
    <w:rsid w:val="31E0DBD3"/>
    <w:rsid w:val="31EB1558"/>
    <w:rsid w:val="3208E127"/>
    <w:rsid w:val="321CF7C1"/>
    <w:rsid w:val="3253B7CD"/>
    <w:rsid w:val="325D41ED"/>
    <w:rsid w:val="32616C11"/>
    <w:rsid w:val="327DB505"/>
    <w:rsid w:val="32A212F2"/>
    <w:rsid w:val="32A575F6"/>
    <w:rsid w:val="32BEF7A6"/>
    <w:rsid w:val="32DDDE71"/>
    <w:rsid w:val="32E504BC"/>
    <w:rsid w:val="3305DC7B"/>
    <w:rsid w:val="3306BBB4"/>
    <w:rsid w:val="331C4CA9"/>
    <w:rsid w:val="331D4683"/>
    <w:rsid w:val="33541B68"/>
    <w:rsid w:val="3365563F"/>
    <w:rsid w:val="337498D8"/>
    <w:rsid w:val="338F0A68"/>
    <w:rsid w:val="33CFAD2A"/>
    <w:rsid w:val="34378A84"/>
    <w:rsid w:val="343999B4"/>
    <w:rsid w:val="34B1F130"/>
    <w:rsid w:val="34DD5C6D"/>
    <w:rsid w:val="35166213"/>
    <w:rsid w:val="353C174E"/>
    <w:rsid w:val="355BAB93"/>
    <w:rsid w:val="35B36F0F"/>
    <w:rsid w:val="35C5FA7B"/>
    <w:rsid w:val="35CD1B9D"/>
    <w:rsid w:val="36015212"/>
    <w:rsid w:val="3627A71E"/>
    <w:rsid w:val="3634650A"/>
    <w:rsid w:val="364D2ED5"/>
    <w:rsid w:val="36516528"/>
    <w:rsid w:val="3690DBC3"/>
    <w:rsid w:val="36BB5A59"/>
    <w:rsid w:val="371BAFAE"/>
    <w:rsid w:val="374E0644"/>
    <w:rsid w:val="3766C0EF"/>
    <w:rsid w:val="3774C7A2"/>
    <w:rsid w:val="377B908D"/>
    <w:rsid w:val="37A3A3E0"/>
    <w:rsid w:val="37F616C0"/>
    <w:rsid w:val="37F67D28"/>
    <w:rsid w:val="380E34DE"/>
    <w:rsid w:val="3814811A"/>
    <w:rsid w:val="38B033E6"/>
    <w:rsid w:val="38B30713"/>
    <w:rsid w:val="38BC2466"/>
    <w:rsid w:val="38DC8F58"/>
    <w:rsid w:val="38F847AB"/>
    <w:rsid w:val="39027785"/>
    <w:rsid w:val="39163FBD"/>
    <w:rsid w:val="39238A18"/>
    <w:rsid w:val="392A8453"/>
    <w:rsid w:val="392DD883"/>
    <w:rsid w:val="3979A5F3"/>
    <w:rsid w:val="39AD8D5A"/>
    <w:rsid w:val="39B185CB"/>
    <w:rsid w:val="39B19BF6"/>
    <w:rsid w:val="39B43591"/>
    <w:rsid w:val="39ED33C9"/>
    <w:rsid w:val="39F1BDD8"/>
    <w:rsid w:val="39FC6D70"/>
    <w:rsid w:val="3A057171"/>
    <w:rsid w:val="3A13F2A8"/>
    <w:rsid w:val="3A2A8AB8"/>
    <w:rsid w:val="3A32CBFF"/>
    <w:rsid w:val="3A3EDE3C"/>
    <w:rsid w:val="3A6A8033"/>
    <w:rsid w:val="3A934007"/>
    <w:rsid w:val="3A9EA1E8"/>
    <w:rsid w:val="3AAA6C49"/>
    <w:rsid w:val="3AAC6864"/>
    <w:rsid w:val="3AC7A480"/>
    <w:rsid w:val="3B077BEA"/>
    <w:rsid w:val="3B6ABE7C"/>
    <w:rsid w:val="3B85C271"/>
    <w:rsid w:val="3BFBF894"/>
    <w:rsid w:val="3C11250C"/>
    <w:rsid w:val="3C657899"/>
    <w:rsid w:val="3C939664"/>
    <w:rsid w:val="3CE01C31"/>
    <w:rsid w:val="3D0E4BAA"/>
    <w:rsid w:val="3D97F59D"/>
    <w:rsid w:val="3DA2568E"/>
    <w:rsid w:val="3DB6C159"/>
    <w:rsid w:val="3DE40926"/>
    <w:rsid w:val="3DEC7DFF"/>
    <w:rsid w:val="3DFA05C3"/>
    <w:rsid w:val="3E39DDB3"/>
    <w:rsid w:val="3E530610"/>
    <w:rsid w:val="3EAA1C0B"/>
    <w:rsid w:val="3EB7797E"/>
    <w:rsid w:val="3EC5B472"/>
    <w:rsid w:val="3ED2F697"/>
    <w:rsid w:val="3F231B9A"/>
    <w:rsid w:val="3F2329B8"/>
    <w:rsid w:val="3F5A540F"/>
    <w:rsid w:val="3F750A09"/>
    <w:rsid w:val="3FD92351"/>
    <w:rsid w:val="3FFB33EB"/>
    <w:rsid w:val="3FFD5F9C"/>
    <w:rsid w:val="400BED7F"/>
    <w:rsid w:val="4011D2AE"/>
    <w:rsid w:val="4025A578"/>
    <w:rsid w:val="4034C264"/>
    <w:rsid w:val="40430450"/>
    <w:rsid w:val="404EE915"/>
    <w:rsid w:val="40699FA1"/>
    <w:rsid w:val="40750120"/>
    <w:rsid w:val="41221BEB"/>
    <w:rsid w:val="41768749"/>
    <w:rsid w:val="41CD7B75"/>
    <w:rsid w:val="41CDEBBC"/>
    <w:rsid w:val="41DD2B4B"/>
    <w:rsid w:val="41EE3E31"/>
    <w:rsid w:val="41F07F5F"/>
    <w:rsid w:val="41F19735"/>
    <w:rsid w:val="420171F9"/>
    <w:rsid w:val="4256CDA5"/>
    <w:rsid w:val="425ACA7A"/>
    <w:rsid w:val="42965608"/>
    <w:rsid w:val="42C17401"/>
    <w:rsid w:val="42FEBEF3"/>
    <w:rsid w:val="4309584F"/>
    <w:rsid w:val="4353B5CB"/>
    <w:rsid w:val="43564478"/>
    <w:rsid w:val="4361FB71"/>
    <w:rsid w:val="438D6796"/>
    <w:rsid w:val="43E2E98D"/>
    <w:rsid w:val="43FBD184"/>
    <w:rsid w:val="441FE50A"/>
    <w:rsid w:val="44396BD4"/>
    <w:rsid w:val="4460EA82"/>
    <w:rsid w:val="44A24A09"/>
    <w:rsid w:val="44ADE917"/>
    <w:rsid w:val="44CD71DA"/>
    <w:rsid w:val="451D2799"/>
    <w:rsid w:val="4522204D"/>
    <w:rsid w:val="45444D74"/>
    <w:rsid w:val="454FF1E7"/>
    <w:rsid w:val="459E157D"/>
    <w:rsid w:val="45AD2D75"/>
    <w:rsid w:val="45F0D51B"/>
    <w:rsid w:val="45F33282"/>
    <w:rsid w:val="46484B6A"/>
    <w:rsid w:val="4692C0C2"/>
    <w:rsid w:val="469D15B1"/>
    <w:rsid w:val="46A8EB9E"/>
    <w:rsid w:val="46B62900"/>
    <w:rsid w:val="46EA0040"/>
    <w:rsid w:val="47160F09"/>
    <w:rsid w:val="4768D653"/>
    <w:rsid w:val="479751BC"/>
    <w:rsid w:val="47988B44"/>
    <w:rsid w:val="47B2CAE5"/>
    <w:rsid w:val="47C3B7C6"/>
    <w:rsid w:val="47D2FDC5"/>
    <w:rsid w:val="47F27021"/>
    <w:rsid w:val="482E9123"/>
    <w:rsid w:val="48623A7A"/>
    <w:rsid w:val="487FDD02"/>
    <w:rsid w:val="48A8F1AD"/>
    <w:rsid w:val="48E2CEB9"/>
    <w:rsid w:val="492D96AA"/>
    <w:rsid w:val="495993DA"/>
    <w:rsid w:val="4971EE84"/>
    <w:rsid w:val="4991D7E6"/>
    <w:rsid w:val="4A05C7D8"/>
    <w:rsid w:val="4A147164"/>
    <w:rsid w:val="4A1EC5B4"/>
    <w:rsid w:val="4A267555"/>
    <w:rsid w:val="4A2F73AB"/>
    <w:rsid w:val="4A318E44"/>
    <w:rsid w:val="4A633EED"/>
    <w:rsid w:val="4AB0B9DF"/>
    <w:rsid w:val="4ABB705F"/>
    <w:rsid w:val="4ABCD0C9"/>
    <w:rsid w:val="4B1724F9"/>
    <w:rsid w:val="4B2AE5C0"/>
    <w:rsid w:val="4B563799"/>
    <w:rsid w:val="4B6B677C"/>
    <w:rsid w:val="4B755117"/>
    <w:rsid w:val="4B80EB5F"/>
    <w:rsid w:val="4B8D9567"/>
    <w:rsid w:val="4BA3B4E7"/>
    <w:rsid w:val="4BC686D8"/>
    <w:rsid w:val="4BD9BA2B"/>
    <w:rsid w:val="4BF5CEBE"/>
    <w:rsid w:val="4C01C5AE"/>
    <w:rsid w:val="4C4AE88E"/>
    <w:rsid w:val="4C4CAF2D"/>
    <w:rsid w:val="4C59DB8E"/>
    <w:rsid w:val="4C791FAA"/>
    <w:rsid w:val="4C9A1D46"/>
    <w:rsid w:val="4CEC6CF9"/>
    <w:rsid w:val="4CF365DA"/>
    <w:rsid w:val="4CFFC2CB"/>
    <w:rsid w:val="4D58D986"/>
    <w:rsid w:val="4D77FC25"/>
    <w:rsid w:val="4D7CA56D"/>
    <w:rsid w:val="4D834EDC"/>
    <w:rsid w:val="4D900B48"/>
    <w:rsid w:val="4D932758"/>
    <w:rsid w:val="4DFBA6C5"/>
    <w:rsid w:val="4DFFC48D"/>
    <w:rsid w:val="4E1E865F"/>
    <w:rsid w:val="4E22BA92"/>
    <w:rsid w:val="4E46B9F2"/>
    <w:rsid w:val="4F9979FC"/>
    <w:rsid w:val="500872B0"/>
    <w:rsid w:val="5008CFFF"/>
    <w:rsid w:val="501B15AD"/>
    <w:rsid w:val="50295C27"/>
    <w:rsid w:val="503C1C9C"/>
    <w:rsid w:val="5054591B"/>
    <w:rsid w:val="505E0DF9"/>
    <w:rsid w:val="515FF7CE"/>
    <w:rsid w:val="516198ED"/>
    <w:rsid w:val="5165FCFC"/>
    <w:rsid w:val="51749A02"/>
    <w:rsid w:val="517E3CD5"/>
    <w:rsid w:val="51833589"/>
    <w:rsid w:val="518BDE5B"/>
    <w:rsid w:val="51F70B5D"/>
    <w:rsid w:val="5200FD64"/>
    <w:rsid w:val="52651042"/>
    <w:rsid w:val="528236B6"/>
    <w:rsid w:val="530471A9"/>
    <w:rsid w:val="5311AB72"/>
    <w:rsid w:val="53312D8C"/>
    <w:rsid w:val="534A33BE"/>
    <w:rsid w:val="536F4363"/>
    <w:rsid w:val="537D6DBB"/>
    <w:rsid w:val="53AAD7CC"/>
    <w:rsid w:val="53C0810A"/>
    <w:rsid w:val="5442E3A8"/>
    <w:rsid w:val="54557374"/>
    <w:rsid w:val="549EDE60"/>
    <w:rsid w:val="54A18E66"/>
    <w:rsid w:val="54C1BC1F"/>
    <w:rsid w:val="54C7565D"/>
    <w:rsid w:val="54DF7708"/>
    <w:rsid w:val="54E9A5DC"/>
    <w:rsid w:val="552AE0AD"/>
    <w:rsid w:val="553A4D4E"/>
    <w:rsid w:val="55849019"/>
    <w:rsid w:val="559492BA"/>
    <w:rsid w:val="55C14B06"/>
    <w:rsid w:val="565889FA"/>
    <w:rsid w:val="566736DA"/>
    <w:rsid w:val="56D3779C"/>
    <w:rsid w:val="573B0A5D"/>
    <w:rsid w:val="575218C1"/>
    <w:rsid w:val="5771E903"/>
    <w:rsid w:val="57769A69"/>
    <w:rsid w:val="577C174E"/>
    <w:rsid w:val="578049D9"/>
    <w:rsid w:val="5796DA70"/>
    <w:rsid w:val="57A027C1"/>
    <w:rsid w:val="57B3D173"/>
    <w:rsid w:val="57C44003"/>
    <w:rsid w:val="57DC2CF0"/>
    <w:rsid w:val="57F45A5B"/>
    <w:rsid w:val="57F53994"/>
    <w:rsid w:val="5825C2EB"/>
    <w:rsid w:val="584581A5"/>
    <w:rsid w:val="585B1E84"/>
    <w:rsid w:val="5862816F"/>
    <w:rsid w:val="586DA6F3"/>
    <w:rsid w:val="58A3E1F1"/>
    <w:rsid w:val="58DA412A"/>
    <w:rsid w:val="58DC3F4C"/>
    <w:rsid w:val="58F48C31"/>
    <w:rsid w:val="590A1074"/>
    <w:rsid w:val="594586BB"/>
    <w:rsid w:val="5998C0F6"/>
    <w:rsid w:val="59A669AA"/>
    <w:rsid w:val="59CFD9C6"/>
    <w:rsid w:val="59D8C3C2"/>
    <w:rsid w:val="59FA32CC"/>
    <w:rsid w:val="5A0F909A"/>
    <w:rsid w:val="5A4FC213"/>
    <w:rsid w:val="5A858DE6"/>
    <w:rsid w:val="5A934385"/>
    <w:rsid w:val="5AA98DE8"/>
    <w:rsid w:val="5ABB997D"/>
    <w:rsid w:val="5B1BF98E"/>
    <w:rsid w:val="5B4ABCBD"/>
    <w:rsid w:val="5B4BB10F"/>
    <w:rsid w:val="5B61387E"/>
    <w:rsid w:val="5B63E51A"/>
    <w:rsid w:val="5BD3E203"/>
    <w:rsid w:val="5C13E00E"/>
    <w:rsid w:val="5C85A4C2"/>
    <w:rsid w:val="5CBC4424"/>
    <w:rsid w:val="5CBE7674"/>
    <w:rsid w:val="5CD63612"/>
    <w:rsid w:val="5CE64EEF"/>
    <w:rsid w:val="5D35F292"/>
    <w:rsid w:val="5D5FC385"/>
    <w:rsid w:val="5D62B7A7"/>
    <w:rsid w:val="5DA22088"/>
    <w:rsid w:val="5DDDDEE0"/>
    <w:rsid w:val="5DF2C0A6"/>
    <w:rsid w:val="5DF39382"/>
    <w:rsid w:val="5E5E962E"/>
    <w:rsid w:val="5E720673"/>
    <w:rsid w:val="5E825D7F"/>
    <w:rsid w:val="5EB103D3"/>
    <w:rsid w:val="5EBF3905"/>
    <w:rsid w:val="5EF88090"/>
    <w:rsid w:val="5EFD4283"/>
    <w:rsid w:val="5F4B80D0"/>
    <w:rsid w:val="5FA2B6B6"/>
    <w:rsid w:val="5FCEED41"/>
    <w:rsid w:val="60229770"/>
    <w:rsid w:val="606958B9"/>
    <w:rsid w:val="60DA06D6"/>
    <w:rsid w:val="60EBA0CF"/>
    <w:rsid w:val="6102446D"/>
    <w:rsid w:val="61083E53"/>
    <w:rsid w:val="6120583D"/>
    <w:rsid w:val="6142E45C"/>
    <w:rsid w:val="6155432F"/>
    <w:rsid w:val="617389A6"/>
    <w:rsid w:val="61F8E3FD"/>
    <w:rsid w:val="622B5115"/>
    <w:rsid w:val="628E01B4"/>
    <w:rsid w:val="62B023A4"/>
    <w:rsid w:val="62B47347"/>
    <w:rsid w:val="62D87F52"/>
    <w:rsid w:val="62D9852E"/>
    <w:rsid w:val="63504A4F"/>
    <w:rsid w:val="63602460"/>
    <w:rsid w:val="636A0EF4"/>
    <w:rsid w:val="6381030D"/>
    <w:rsid w:val="63AC276B"/>
    <w:rsid w:val="63D5F7C4"/>
    <w:rsid w:val="63E9BF5D"/>
    <w:rsid w:val="6411A798"/>
    <w:rsid w:val="643D7280"/>
    <w:rsid w:val="6461A4F8"/>
    <w:rsid w:val="65250C5F"/>
    <w:rsid w:val="656DC11D"/>
    <w:rsid w:val="6595A699"/>
    <w:rsid w:val="65A70EBA"/>
    <w:rsid w:val="65BAC254"/>
    <w:rsid w:val="65DAF61B"/>
    <w:rsid w:val="6631D56B"/>
    <w:rsid w:val="663C607A"/>
    <w:rsid w:val="6657B644"/>
    <w:rsid w:val="66994D66"/>
    <w:rsid w:val="669FCDCD"/>
    <w:rsid w:val="66E4C25E"/>
    <w:rsid w:val="670B54D0"/>
    <w:rsid w:val="676A4A2B"/>
    <w:rsid w:val="67807A8F"/>
    <w:rsid w:val="679BB0B6"/>
    <w:rsid w:val="67B5EA4E"/>
    <w:rsid w:val="67D4388F"/>
    <w:rsid w:val="681C623D"/>
    <w:rsid w:val="681E58BC"/>
    <w:rsid w:val="687A4F7E"/>
    <w:rsid w:val="68A22FF5"/>
    <w:rsid w:val="68A3032B"/>
    <w:rsid w:val="691C235B"/>
    <w:rsid w:val="6932C523"/>
    <w:rsid w:val="699CFC90"/>
    <w:rsid w:val="69F30358"/>
    <w:rsid w:val="6ABD9AAC"/>
    <w:rsid w:val="6AEF5D06"/>
    <w:rsid w:val="6B68CE0D"/>
    <w:rsid w:val="6B7505D1"/>
    <w:rsid w:val="6B9A4825"/>
    <w:rsid w:val="6BBB40ED"/>
    <w:rsid w:val="6BC04F5A"/>
    <w:rsid w:val="6BCD204B"/>
    <w:rsid w:val="6BD43402"/>
    <w:rsid w:val="6BE38E42"/>
    <w:rsid w:val="6BF877CA"/>
    <w:rsid w:val="6C00381C"/>
    <w:rsid w:val="6C028745"/>
    <w:rsid w:val="6C1BDDE1"/>
    <w:rsid w:val="6C4AF0FA"/>
    <w:rsid w:val="6C938936"/>
    <w:rsid w:val="6CA162B1"/>
    <w:rsid w:val="6CB57A89"/>
    <w:rsid w:val="6CD0B136"/>
    <w:rsid w:val="6CFCB0E8"/>
    <w:rsid w:val="6D16F97E"/>
    <w:rsid w:val="6D188C80"/>
    <w:rsid w:val="6D31280C"/>
    <w:rsid w:val="6D591EF2"/>
    <w:rsid w:val="6D7AF1EE"/>
    <w:rsid w:val="6D7B2DC5"/>
    <w:rsid w:val="6D9E57A6"/>
    <w:rsid w:val="6E0457A7"/>
    <w:rsid w:val="6EA06ECF"/>
    <w:rsid w:val="6EABFDBE"/>
    <w:rsid w:val="6EE5EE92"/>
    <w:rsid w:val="6EEE4F84"/>
    <w:rsid w:val="6EEFD443"/>
    <w:rsid w:val="6F077A69"/>
    <w:rsid w:val="6F0BC695"/>
    <w:rsid w:val="6F0FB6A4"/>
    <w:rsid w:val="6F15B0E6"/>
    <w:rsid w:val="6F3419F8"/>
    <w:rsid w:val="6F649E93"/>
    <w:rsid w:val="6F6D3D7D"/>
    <w:rsid w:val="6F850257"/>
    <w:rsid w:val="6FC6B267"/>
    <w:rsid w:val="6FF29090"/>
    <w:rsid w:val="7003E1D5"/>
    <w:rsid w:val="70088EC2"/>
    <w:rsid w:val="700F548F"/>
    <w:rsid w:val="701CED49"/>
    <w:rsid w:val="70764165"/>
    <w:rsid w:val="7082D571"/>
    <w:rsid w:val="70D4621F"/>
    <w:rsid w:val="71134DB1"/>
    <w:rsid w:val="71473B9F"/>
    <w:rsid w:val="71743921"/>
    <w:rsid w:val="71941F19"/>
    <w:rsid w:val="71A137CF"/>
    <w:rsid w:val="71E7F3FA"/>
    <w:rsid w:val="721B9961"/>
    <w:rsid w:val="7224607E"/>
    <w:rsid w:val="72414F36"/>
    <w:rsid w:val="7252F495"/>
    <w:rsid w:val="72773996"/>
    <w:rsid w:val="7279B30F"/>
    <w:rsid w:val="729A6595"/>
    <w:rsid w:val="730D0992"/>
    <w:rsid w:val="731B29DD"/>
    <w:rsid w:val="7389771F"/>
    <w:rsid w:val="73AAF50E"/>
    <w:rsid w:val="73AC56A3"/>
    <w:rsid w:val="73CDB6CC"/>
    <w:rsid w:val="73FAD838"/>
    <w:rsid w:val="74839726"/>
    <w:rsid w:val="74ACC3B4"/>
    <w:rsid w:val="74C9267E"/>
    <w:rsid w:val="74EE6AA2"/>
    <w:rsid w:val="750BC963"/>
    <w:rsid w:val="7565CFCB"/>
    <w:rsid w:val="758F4833"/>
    <w:rsid w:val="75925E0E"/>
    <w:rsid w:val="75968A09"/>
    <w:rsid w:val="75DA7098"/>
    <w:rsid w:val="76061B59"/>
    <w:rsid w:val="7609B2A8"/>
    <w:rsid w:val="7612C037"/>
    <w:rsid w:val="762B28E3"/>
    <w:rsid w:val="7665652D"/>
    <w:rsid w:val="767270E9"/>
    <w:rsid w:val="7685194F"/>
    <w:rsid w:val="76AB80B4"/>
    <w:rsid w:val="76AF3BB0"/>
    <w:rsid w:val="76E09139"/>
    <w:rsid w:val="76E6F99A"/>
    <w:rsid w:val="772B1894"/>
    <w:rsid w:val="7762BE91"/>
    <w:rsid w:val="77784F62"/>
    <w:rsid w:val="777D3165"/>
    <w:rsid w:val="77BE37D8"/>
    <w:rsid w:val="77E048DF"/>
    <w:rsid w:val="77E92971"/>
    <w:rsid w:val="77EDD9D3"/>
    <w:rsid w:val="77F72402"/>
    <w:rsid w:val="785BCA93"/>
    <w:rsid w:val="785BECD9"/>
    <w:rsid w:val="7899FCA2"/>
    <w:rsid w:val="78A0B041"/>
    <w:rsid w:val="78A6A306"/>
    <w:rsid w:val="78AD9D69"/>
    <w:rsid w:val="78DCF81A"/>
    <w:rsid w:val="794B235F"/>
    <w:rsid w:val="79675E22"/>
    <w:rsid w:val="797A3804"/>
    <w:rsid w:val="798A797C"/>
    <w:rsid w:val="79A0916D"/>
    <w:rsid w:val="7A5A348D"/>
    <w:rsid w:val="7A9225E7"/>
    <w:rsid w:val="7AB965AE"/>
    <w:rsid w:val="7B02A863"/>
    <w:rsid w:val="7B0C8A08"/>
    <w:rsid w:val="7B2A8881"/>
    <w:rsid w:val="7B363D01"/>
    <w:rsid w:val="7B3DB2D0"/>
    <w:rsid w:val="7B4D35E6"/>
    <w:rsid w:val="7B6DBBD6"/>
    <w:rsid w:val="7B7F06C7"/>
    <w:rsid w:val="7BCE574B"/>
    <w:rsid w:val="7C00A373"/>
    <w:rsid w:val="7C14E93F"/>
    <w:rsid w:val="7C37FBED"/>
    <w:rsid w:val="7C42C1B0"/>
    <w:rsid w:val="7C6A084E"/>
    <w:rsid w:val="7C8FD8AE"/>
    <w:rsid w:val="7C981794"/>
    <w:rsid w:val="7D14C038"/>
    <w:rsid w:val="7D1AC238"/>
    <w:rsid w:val="7D25C49E"/>
    <w:rsid w:val="7D4E550E"/>
    <w:rsid w:val="7D58AF04"/>
    <w:rsid w:val="7D5DC2F1"/>
    <w:rsid w:val="7D76F2A3"/>
    <w:rsid w:val="7D93EE0D"/>
    <w:rsid w:val="7D96A6C5"/>
    <w:rsid w:val="7D972DA8"/>
    <w:rsid w:val="7DC64202"/>
    <w:rsid w:val="7E2A4ACE"/>
    <w:rsid w:val="7E2BB2F4"/>
    <w:rsid w:val="7E3948BD"/>
    <w:rsid w:val="7E459A47"/>
    <w:rsid w:val="7E5474D2"/>
    <w:rsid w:val="7E7A5688"/>
    <w:rsid w:val="7EFED867"/>
    <w:rsid w:val="7F0E84D2"/>
    <w:rsid w:val="7F6396EB"/>
    <w:rsid w:val="7FC8256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C9BE847"/>
  <w15:chartTrackingRefBased/>
  <w15:docId w15:val="{21C96BBC-599B-4845-89F4-DE760FD6B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1091E"/>
    <w:pPr>
      <w:spacing w:after="0" w:line="240" w:lineRule="auto"/>
    </w:pPr>
    <w:rPr>
      <w:rFonts w:ascii="Calibri" w:eastAsia="Times New Roman" w:hAnsi="Calibri" w:cs="Times New Roman"/>
      <w:sz w:val="20"/>
      <w:szCs w:val="24"/>
      <w:lang w:val="nl-NL" w:eastAsia="nl-NL"/>
    </w:rPr>
  </w:style>
  <w:style w:type="paragraph" w:styleId="Kop1">
    <w:name w:val="heading 1"/>
    <w:basedOn w:val="Standaard"/>
    <w:next w:val="Standaard"/>
    <w:link w:val="Kop1Char"/>
    <w:qFormat/>
    <w:rsid w:val="0058393C"/>
    <w:pPr>
      <w:keepNext/>
      <w:spacing w:before="240" w:after="60"/>
      <w:outlineLvl w:val="0"/>
    </w:pPr>
    <w:rPr>
      <w:rFonts w:asciiTheme="minorHAnsi" w:hAnsiTheme="minorHAnsi" w:cs="Arial"/>
      <w:bCs/>
      <w:color w:val="E10E49"/>
      <w:kern w:val="32"/>
      <w:sz w:val="32"/>
      <w:szCs w:val="32"/>
    </w:rPr>
  </w:style>
  <w:style w:type="paragraph" w:styleId="Kop2">
    <w:name w:val="heading 2"/>
    <w:basedOn w:val="Standaard"/>
    <w:next w:val="Standaard"/>
    <w:link w:val="Kop2Char"/>
    <w:qFormat/>
    <w:rsid w:val="002E5370"/>
    <w:pPr>
      <w:keepNext/>
      <w:spacing w:before="240" w:after="60"/>
      <w:outlineLvl w:val="1"/>
    </w:pPr>
    <w:rPr>
      <w:rFonts w:asciiTheme="minorHAnsi" w:hAnsiTheme="minorHAnsi" w:cs="Arial"/>
      <w:bCs/>
      <w:iCs/>
      <w:color w:val="E10E49"/>
      <w:sz w:val="26"/>
      <w:szCs w:val="28"/>
    </w:rPr>
  </w:style>
  <w:style w:type="paragraph" w:styleId="Kop3">
    <w:name w:val="heading 3"/>
    <w:basedOn w:val="Standaard"/>
    <w:next w:val="Standaard"/>
    <w:link w:val="Kop3Char"/>
    <w:uiPriority w:val="9"/>
    <w:unhideWhenUsed/>
    <w:qFormat/>
    <w:rsid w:val="009A4B9E"/>
    <w:pPr>
      <w:keepNext/>
      <w:keepLines/>
      <w:spacing w:before="40"/>
      <w:outlineLvl w:val="2"/>
    </w:pPr>
    <w:rPr>
      <w:rFonts w:eastAsiaTheme="majorEastAsia" w:cstheme="majorBidi"/>
      <w:color w:val="E10E4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A76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rsid w:val="0058393C"/>
    <w:rPr>
      <w:rFonts w:eastAsia="Times New Roman" w:cs="Arial"/>
      <w:bCs/>
      <w:color w:val="E10E49"/>
      <w:kern w:val="32"/>
      <w:sz w:val="32"/>
      <w:szCs w:val="32"/>
      <w:lang w:val="nl-NL" w:eastAsia="nl-NL"/>
    </w:rPr>
  </w:style>
  <w:style w:type="character" w:customStyle="1" w:styleId="Kop2Char">
    <w:name w:val="Kop 2 Char"/>
    <w:basedOn w:val="Standaardalinea-lettertype"/>
    <w:link w:val="Kop2"/>
    <w:rsid w:val="002E5370"/>
    <w:rPr>
      <w:rFonts w:eastAsia="Times New Roman" w:cs="Arial"/>
      <w:bCs/>
      <w:iCs/>
      <w:color w:val="E10E49"/>
      <w:sz w:val="26"/>
      <w:szCs w:val="28"/>
      <w:lang w:val="nl-NL" w:eastAsia="nl-NL"/>
    </w:rPr>
  </w:style>
  <w:style w:type="paragraph" w:customStyle="1" w:styleId="msolistparagraph0">
    <w:name w:val="msolistparagraph"/>
    <w:basedOn w:val="Standaard"/>
    <w:rsid w:val="000577D3"/>
    <w:pPr>
      <w:ind w:left="720"/>
    </w:pPr>
  </w:style>
  <w:style w:type="paragraph" w:customStyle="1" w:styleId="BTStip1">
    <w:name w:val="BT_Stip1"/>
    <w:basedOn w:val="Standaard"/>
    <w:rsid w:val="000577D3"/>
    <w:pPr>
      <w:numPr>
        <w:numId w:val="6"/>
      </w:numPr>
      <w:kinsoku w:val="0"/>
      <w:autoSpaceDE w:val="0"/>
      <w:autoSpaceDN w:val="0"/>
      <w:adjustRightInd w:val="0"/>
      <w:spacing w:after="140" w:line="280" w:lineRule="atLeast"/>
    </w:pPr>
    <w:rPr>
      <w:rFonts w:ascii="Arial" w:eastAsia="Batang" w:hAnsi="Arial"/>
      <w:lang w:eastAsia="en-US"/>
    </w:rPr>
  </w:style>
  <w:style w:type="paragraph" w:customStyle="1" w:styleId="BTStreep">
    <w:name w:val="BT_Streep"/>
    <w:basedOn w:val="Standaard"/>
    <w:rsid w:val="000577D3"/>
    <w:pPr>
      <w:numPr>
        <w:numId w:val="7"/>
      </w:numPr>
      <w:kinsoku w:val="0"/>
      <w:autoSpaceDE w:val="0"/>
      <w:autoSpaceDN w:val="0"/>
      <w:adjustRightInd w:val="0"/>
      <w:spacing w:after="140" w:line="280" w:lineRule="atLeast"/>
      <w:ind w:left="360"/>
    </w:pPr>
    <w:rPr>
      <w:rFonts w:ascii="Arial" w:eastAsia="Batang" w:hAnsi="Arial"/>
      <w:lang w:eastAsia="en-US"/>
    </w:rPr>
  </w:style>
  <w:style w:type="paragraph" w:styleId="Lijstnummering">
    <w:name w:val="List Number"/>
    <w:basedOn w:val="Standaard"/>
    <w:rsid w:val="000577D3"/>
    <w:pPr>
      <w:numPr>
        <w:numId w:val="8"/>
      </w:numPr>
      <w:tabs>
        <w:tab w:val="num" w:pos="1428"/>
      </w:tabs>
      <w:spacing w:after="200" w:line="276" w:lineRule="auto"/>
      <w:ind w:left="1428"/>
    </w:pPr>
    <w:rPr>
      <w:rFonts w:eastAsia="MS ??"/>
      <w:sz w:val="22"/>
      <w:szCs w:val="22"/>
    </w:rPr>
  </w:style>
  <w:style w:type="paragraph" w:customStyle="1" w:styleId="Lijstspeciaal">
    <w:name w:val="Lijst speciaal"/>
    <w:basedOn w:val="Standaard"/>
    <w:rsid w:val="000577D3"/>
    <w:pPr>
      <w:ind w:left="284" w:hanging="284"/>
    </w:pPr>
    <w:rPr>
      <w:rFonts w:ascii="Lucida Sans Unicode" w:hAnsi="Lucida Sans Unicode" w:cs="Arial"/>
      <w:sz w:val="16"/>
      <w:szCs w:val="16"/>
    </w:rPr>
  </w:style>
  <w:style w:type="paragraph" w:styleId="Koptekst">
    <w:name w:val="header"/>
    <w:basedOn w:val="Standaard"/>
    <w:link w:val="KoptekstChar"/>
    <w:rsid w:val="000577D3"/>
    <w:pPr>
      <w:tabs>
        <w:tab w:val="center" w:pos="4536"/>
        <w:tab w:val="right" w:pos="9072"/>
      </w:tabs>
    </w:pPr>
  </w:style>
  <w:style w:type="character" w:customStyle="1" w:styleId="KoptekstChar">
    <w:name w:val="Koptekst Char"/>
    <w:basedOn w:val="Standaardalinea-lettertype"/>
    <w:link w:val="Koptekst"/>
    <w:rsid w:val="000577D3"/>
    <w:rPr>
      <w:rFonts w:ascii="Times New Roman" w:eastAsia="Times New Roman" w:hAnsi="Times New Roman" w:cs="Times New Roman"/>
      <w:sz w:val="24"/>
      <w:szCs w:val="24"/>
      <w:lang w:val="nl-NL" w:eastAsia="nl-NL"/>
    </w:rPr>
  </w:style>
  <w:style w:type="paragraph" w:styleId="Voettekst">
    <w:name w:val="footer"/>
    <w:basedOn w:val="Standaard"/>
    <w:link w:val="VoettekstChar"/>
    <w:rsid w:val="000577D3"/>
    <w:pPr>
      <w:tabs>
        <w:tab w:val="center" w:pos="4536"/>
        <w:tab w:val="right" w:pos="9072"/>
      </w:tabs>
    </w:pPr>
  </w:style>
  <w:style w:type="character" w:customStyle="1" w:styleId="VoettekstChar">
    <w:name w:val="Voettekst Char"/>
    <w:basedOn w:val="Standaardalinea-lettertype"/>
    <w:link w:val="Voettekst"/>
    <w:rsid w:val="000577D3"/>
    <w:rPr>
      <w:rFonts w:ascii="Times New Roman" w:eastAsia="Times New Roman" w:hAnsi="Times New Roman" w:cs="Times New Roman"/>
      <w:sz w:val="24"/>
      <w:szCs w:val="24"/>
      <w:lang w:val="nl-NL" w:eastAsia="nl-NL"/>
    </w:rPr>
  </w:style>
  <w:style w:type="paragraph" w:styleId="Lijstopsomteken">
    <w:name w:val="List Bullet"/>
    <w:basedOn w:val="Standaard"/>
    <w:rsid w:val="000577D3"/>
    <w:pPr>
      <w:numPr>
        <w:numId w:val="9"/>
      </w:numPr>
      <w:spacing w:after="200" w:line="276" w:lineRule="auto"/>
      <w:ind w:left="1080" w:hanging="720"/>
    </w:pPr>
    <w:rPr>
      <w:rFonts w:eastAsia="MS ??"/>
      <w:sz w:val="22"/>
      <w:szCs w:val="22"/>
    </w:rPr>
  </w:style>
  <w:style w:type="character" w:styleId="Paginanummer">
    <w:name w:val="page number"/>
    <w:basedOn w:val="Standaardalinea-lettertype"/>
    <w:rsid w:val="000577D3"/>
  </w:style>
  <w:style w:type="paragraph" w:styleId="Inhopg1">
    <w:name w:val="toc 1"/>
    <w:basedOn w:val="Standaard"/>
    <w:next w:val="Standaard"/>
    <w:autoRedefine/>
    <w:uiPriority w:val="39"/>
    <w:rsid w:val="000577D3"/>
    <w:pPr>
      <w:tabs>
        <w:tab w:val="right" w:leader="dot" w:pos="9062"/>
      </w:tabs>
    </w:pPr>
    <w:rPr>
      <w:rFonts w:ascii="Helvetica" w:hAnsi="Helvetica"/>
      <w:b/>
      <w:bCs/>
    </w:rPr>
  </w:style>
  <w:style w:type="paragraph" w:styleId="Inhopg2">
    <w:name w:val="toc 2"/>
    <w:basedOn w:val="Standaard"/>
    <w:next w:val="Standaard"/>
    <w:autoRedefine/>
    <w:uiPriority w:val="39"/>
    <w:rsid w:val="000577D3"/>
    <w:pPr>
      <w:ind w:left="240"/>
    </w:pPr>
  </w:style>
  <w:style w:type="character" w:styleId="Hyperlink">
    <w:name w:val="Hyperlink"/>
    <w:uiPriority w:val="99"/>
    <w:rsid w:val="000577D3"/>
    <w:rPr>
      <w:color w:val="0000FF"/>
      <w:u w:val="single"/>
    </w:rPr>
  </w:style>
  <w:style w:type="paragraph" w:styleId="Ballontekst">
    <w:name w:val="Balloon Text"/>
    <w:basedOn w:val="Standaard"/>
    <w:link w:val="BallontekstChar"/>
    <w:semiHidden/>
    <w:rsid w:val="000577D3"/>
    <w:rPr>
      <w:rFonts w:ascii="Tahoma" w:hAnsi="Tahoma" w:cs="Tahoma"/>
      <w:sz w:val="16"/>
      <w:szCs w:val="16"/>
    </w:rPr>
  </w:style>
  <w:style w:type="character" w:customStyle="1" w:styleId="BallontekstChar">
    <w:name w:val="Ballontekst Char"/>
    <w:basedOn w:val="Standaardalinea-lettertype"/>
    <w:link w:val="Ballontekst"/>
    <w:semiHidden/>
    <w:rsid w:val="000577D3"/>
    <w:rPr>
      <w:rFonts w:ascii="Tahoma" w:eastAsia="Times New Roman" w:hAnsi="Tahoma" w:cs="Tahoma"/>
      <w:sz w:val="16"/>
      <w:szCs w:val="16"/>
      <w:lang w:val="nl-NL" w:eastAsia="nl-NL"/>
    </w:rPr>
  </w:style>
  <w:style w:type="paragraph" w:styleId="Lijstalinea">
    <w:name w:val="List Paragraph"/>
    <w:basedOn w:val="Standaard"/>
    <w:uiPriority w:val="34"/>
    <w:qFormat/>
    <w:rsid w:val="000577D3"/>
    <w:pPr>
      <w:ind w:left="708"/>
    </w:pPr>
  </w:style>
  <w:style w:type="paragraph" w:styleId="Normaalweb">
    <w:name w:val="Normal (Web)"/>
    <w:basedOn w:val="Standaard"/>
    <w:uiPriority w:val="99"/>
    <w:semiHidden/>
    <w:unhideWhenUsed/>
    <w:rsid w:val="005B5C80"/>
    <w:pPr>
      <w:spacing w:before="100" w:beforeAutospacing="1" w:after="100" w:afterAutospacing="1"/>
    </w:pPr>
  </w:style>
  <w:style w:type="paragraph" w:styleId="Bijschrift">
    <w:name w:val="caption"/>
    <w:basedOn w:val="Standaard"/>
    <w:next w:val="Standaard"/>
    <w:uiPriority w:val="35"/>
    <w:unhideWhenUsed/>
    <w:qFormat/>
    <w:rsid w:val="009366B8"/>
    <w:pPr>
      <w:spacing w:after="200"/>
    </w:pPr>
    <w:rPr>
      <w:i/>
      <w:iCs/>
      <w:color w:val="1F497D" w:themeColor="text2"/>
      <w:szCs w:val="18"/>
    </w:rPr>
  </w:style>
  <w:style w:type="character" w:customStyle="1" w:styleId="Kop3Char">
    <w:name w:val="Kop 3 Char"/>
    <w:basedOn w:val="Standaardalinea-lettertype"/>
    <w:link w:val="Kop3"/>
    <w:uiPriority w:val="9"/>
    <w:rsid w:val="009A4B9E"/>
    <w:rPr>
      <w:rFonts w:ascii="Lucida Sans" w:eastAsiaTheme="majorEastAsia" w:hAnsi="Lucida Sans" w:cstheme="majorBidi"/>
      <w:color w:val="E10E49"/>
      <w:sz w:val="18"/>
      <w:szCs w:val="24"/>
      <w:lang w:val="nl-NL" w:eastAsia="nl-NL"/>
    </w:rPr>
  </w:style>
  <w:style w:type="paragraph" w:customStyle="1" w:styleId="paragraph">
    <w:name w:val="paragraph"/>
    <w:basedOn w:val="Standaard"/>
    <w:rsid w:val="00AD0ECD"/>
    <w:pPr>
      <w:spacing w:before="100" w:beforeAutospacing="1" w:after="100" w:afterAutospacing="1"/>
    </w:pPr>
  </w:style>
  <w:style w:type="character" w:customStyle="1" w:styleId="normaltextrun">
    <w:name w:val="normaltextrun"/>
    <w:rsid w:val="00AD0ECD"/>
  </w:style>
  <w:style w:type="paragraph" w:styleId="Inhopg3">
    <w:name w:val="toc 3"/>
    <w:basedOn w:val="Standaard"/>
    <w:next w:val="Standaard"/>
    <w:autoRedefine/>
    <w:uiPriority w:val="39"/>
    <w:unhideWhenUsed/>
    <w:rsid w:val="008527FE"/>
    <w:pPr>
      <w:spacing w:after="100"/>
      <w:ind w:left="480"/>
    </w:pPr>
  </w:style>
  <w:style w:type="paragraph" w:styleId="Geenafstand">
    <w:name w:val="No Spacing"/>
    <w:uiPriority w:val="1"/>
    <w:qFormat/>
    <w:rsid w:val="00C33BFD"/>
    <w:pPr>
      <w:spacing w:after="0" w:line="240" w:lineRule="auto"/>
    </w:pPr>
    <w:rPr>
      <w:rFonts w:ascii="Times New Roman" w:eastAsia="Times New Roman" w:hAnsi="Times New Roman" w:cs="Times New Roman"/>
      <w:sz w:val="24"/>
      <w:szCs w:val="24"/>
      <w:lang w:val="nl-NL" w:eastAsia="nl-NL"/>
    </w:rPr>
  </w:style>
  <w:style w:type="paragraph" w:styleId="Kopvaninhoudsopgave">
    <w:name w:val="TOC Heading"/>
    <w:basedOn w:val="Kop1"/>
    <w:next w:val="Standaard"/>
    <w:uiPriority w:val="39"/>
    <w:unhideWhenUsed/>
    <w:qFormat/>
    <w:rsid w:val="009A4B9E"/>
    <w:pPr>
      <w:keepLines/>
      <w:spacing w:after="0" w:line="259" w:lineRule="auto"/>
      <w:outlineLvl w:val="9"/>
    </w:pPr>
    <w:rPr>
      <w:rFonts w:asciiTheme="majorHAnsi" w:eastAsiaTheme="majorEastAsia" w:hAnsiTheme="majorHAnsi" w:cstheme="majorBidi"/>
      <w:b/>
      <w:bCs w:val="0"/>
      <w:kern w:val="0"/>
    </w:rPr>
  </w:style>
  <w:style w:type="paragraph" w:customStyle="1" w:styleId="xmsonormal">
    <w:name w:val="x_msonormal"/>
    <w:basedOn w:val="Standaard"/>
    <w:rsid w:val="007315D4"/>
    <w:rPr>
      <w:rFonts w:eastAsiaTheme="minorHAnsi" w:cs="Calibri"/>
      <w:sz w:val="22"/>
      <w:szCs w:val="22"/>
    </w:rPr>
  </w:style>
  <w:style w:type="table" w:customStyle="1" w:styleId="Tabelraster1">
    <w:name w:val="Tabelraster1"/>
    <w:basedOn w:val="Standaardtabel"/>
    <w:next w:val="Tabelraster"/>
    <w:uiPriority w:val="59"/>
    <w:rsid w:val="00312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jsttabel3-Accent2">
    <w:name w:val="List Table 3 Accent 2"/>
    <w:basedOn w:val="Standaardtabel"/>
    <w:uiPriority w:val="48"/>
    <w:rsid w:val="00B80639"/>
    <w:pPr>
      <w:spacing w:after="0" w:line="240" w:lineRule="auto"/>
    </w:pPr>
    <w:rPr>
      <w:rFonts w:ascii="Lucida Sans" w:hAnsi="Lucida Sans"/>
      <w:sz w:val="18"/>
    </w:rPr>
    <w:tblPr>
      <w:tblStyleRowBandSize w:val="1"/>
      <w:tblStyleColBandSize w:val="1"/>
      <w:tblBorders>
        <w:top w:val="single" w:sz="4" w:space="0" w:color="E10E49"/>
        <w:left w:val="single" w:sz="4" w:space="0" w:color="E10E49"/>
        <w:bottom w:val="single" w:sz="4" w:space="0" w:color="E10E49"/>
        <w:right w:val="single" w:sz="4" w:space="0" w:color="E10E49"/>
      </w:tblBorders>
    </w:tblPr>
    <w:tblStylePr w:type="firstRow">
      <w:rPr>
        <w:rFonts w:ascii="Aldhabi" w:hAnsi="Aldhabi"/>
        <w:b/>
        <w:bCs/>
        <w:color w:val="FFFFFF" w:themeColor="background1"/>
        <w:sz w:val="18"/>
      </w:rPr>
      <w:tblPr/>
      <w:tcPr>
        <w:shd w:val="clear" w:color="auto" w:fill="E10E49"/>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styleId="Verwijzingopmerking">
    <w:name w:val="annotation reference"/>
    <w:basedOn w:val="Standaardalinea-lettertype"/>
    <w:uiPriority w:val="99"/>
    <w:semiHidden/>
    <w:unhideWhenUsed/>
    <w:rsid w:val="00691303"/>
    <w:rPr>
      <w:sz w:val="16"/>
      <w:szCs w:val="16"/>
    </w:rPr>
  </w:style>
  <w:style w:type="paragraph" w:styleId="Tekstopmerking">
    <w:name w:val="annotation text"/>
    <w:basedOn w:val="Standaard"/>
    <w:link w:val="TekstopmerkingChar"/>
    <w:uiPriority w:val="99"/>
    <w:semiHidden/>
    <w:unhideWhenUsed/>
    <w:rsid w:val="00691303"/>
    <w:rPr>
      <w:szCs w:val="20"/>
    </w:rPr>
  </w:style>
  <w:style w:type="character" w:customStyle="1" w:styleId="TekstopmerkingChar">
    <w:name w:val="Tekst opmerking Char"/>
    <w:basedOn w:val="Standaardalinea-lettertype"/>
    <w:link w:val="Tekstopmerking"/>
    <w:uiPriority w:val="99"/>
    <w:semiHidden/>
    <w:rsid w:val="00691303"/>
    <w:rPr>
      <w:rFonts w:ascii="Lucida Sans" w:eastAsia="Times New Roman" w:hAnsi="Lucida Sans"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691303"/>
    <w:rPr>
      <w:b/>
      <w:bCs/>
    </w:rPr>
  </w:style>
  <w:style w:type="character" w:customStyle="1" w:styleId="OnderwerpvanopmerkingChar">
    <w:name w:val="Onderwerp van opmerking Char"/>
    <w:basedOn w:val="TekstopmerkingChar"/>
    <w:link w:val="Onderwerpvanopmerking"/>
    <w:uiPriority w:val="99"/>
    <w:semiHidden/>
    <w:rsid w:val="00691303"/>
    <w:rPr>
      <w:rFonts w:ascii="Lucida Sans" w:eastAsia="Times New Roman" w:hAnsi="Lucida Sans" w:cs="Times New Roman"/>
      <w:b/>
      <w:bCs/>
      <w:sz w:val="20"/>
      <w:szCs w:val="20"/>
      <w:lang w:val="nl-NL" w:eastAsia="nl-NL"/>
    </w:rPr>
  </w:style>
  <w:style w:type="character" w:customStyle="1" w:styleId="eop">
    <w:name w:val="eop"/>
    <w:basedOn w:val="Standaardalinea-lettertype"/>
    <w:rsid w:val="00FD3E5B"/>
  </w:style>
  <w:style w:type="character" w:customStyle="1" w:styleId="spellingerror">
    <w:name w:val="spellingerror"/>
    <w:basedOn w:val="Standaardalinea-lettertype"/>
    <w:rsid w:val="00FD3E5B"/>
  </w:style>
  <w:style w:type="character" w:customStyle="1" w:styleId="contextualspellingandgrammarerror">
    <w:name w:val="contextualspellingandgrammarerror"/>
    <w:basedOn w:val="Standaardalinea-lettertype"/>
    <w:rsid w:val="00FD3E5B"/>
  </w:style>
  <w:style w:type="paragraph" w:customStyle="1" w:styleId="xmsolistparagraph">
    <w:name w:val="x_msolistparagraph"/>
    <w:basedOn w:val="Standaard"/>
    <w:rsid w:val="0018311C"/>
    <w:pPr>
      <w:ind w:left="720"/>
    </w:pPr>
    <w:rPr>
      <w:rFonts w:eastAsiaTheme="minorHAnsi" w:cs="Calibri"/>
      <w:sz w:val="22"/>
      <w:szCs w:val="22"/>
    </w:rPr>
  </w:style>
  <w:style w:type="character" w:styleId="Voetnootmarkering">
    <w:name w:val="footnote reference"/>
    <w:basedOn w:val="Standaardalinea-lettertype"/>
    <w:uiPriority w:val="99"/>
    <w:semiHidden/>
    <w:unhideWhenUsed/>
    <w:rPr>
      <w:vertAlign w:val="superscript"/>
    </w:rPr>
  </w:style>
  <w:style w:type="paragraph" w:customStyle="1" w:styleId="Default">
    <w:name w:val="Default"/>
    <w:rsid w:val="001177AA"/>
    <w:pPr>
      <w:autoSpaceDE w:val="0"/>
      <w:autoSpaceDN w:val="0"/>
      <w:adjustRightInd w:val="0"/>
      <w:spacing w:after="0" w:line="240" w:lineRule="auto"/>
    </w:pPr>
    <w:rPr>
      <w:rFonts w:ascii="Symbol" w:hAnsi="Symbol" w:cs="Symbol"/>
      <w:color w:val="000000"/>
      <w:sz w:val="24"/>
      <w:szCs w:val="24"/>
      <w:lang w:val="nl-NL"/>
    </w:rPr>
  </w:style>
  <w:style w:type="character" w:styleId="Onopgelostemelding">
    <w:name w:val="Unresolved Mention"/>
    <w:basedOn w:val="Standaardalinea-lettertype"/>
    <w:uiPriority w:val="99"/>
    <w:unhideWhenUsed/>
    <w:rsid w:val="00305E8E"/>
    <w:rPr>
      <w:color w:val="605E5C"/>
      <w:shd w:val="clear" w:color="auto" w:fill="E1DFDD"/>
    </w:rPr>
  </w:style>
  <w:style w:type="character" w:styleId="Vermelding">
    <w:name w:val="Mention"/>
    <w:basedOn w:val="Standaardalinea-lettertype"/>
    <w:uiPriority w:val="99"/>
    <w:unhideWhenUsed/>
    <w:rsid w:val="00305E8E"/>
    <w:rPr>
      <w:color w:val="2B579A"/>
      <w:shd w:val="clear" w:color="auto" w:fill="E1DFDD"/>
    </w:rPr>
  </w:style>
  <w:style w:type="character" w:customStyle="1" w:styleId="xnormaltextrun">
    <w:name w:val="x_normaltextrun"/>
    <w:basedOn w:val="Standaardalinea-lettertype"/>
    <w:rsid w:val="004554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586400">
      <w:bodyDiv w:val="1"/>
      <w:marLeft w:val="0"/>
      <w:marRight w:val="0"/>
      <w:marTop w:val="0"/>
      <w:marBottom w:val="0"/>
      <w:divBdr>
        <w:top w:val="none" w:sz="0" w:space="0" w:color="auto"/>
        <w:left w:val="none" w:sz="0" w:space="0" w:color="auto"/>
        <w:bottom w:val="none" w:sz="0" w:space="0" w:color="auto"/>
        <w:right w:val="none" w:sz="0" w:space="0" w:color="auto"/>
      </w:divBdr>
    </w:div>
    <w:div w:id="322776384">
      <w:bodyDiv w:val="1"/>
      <w:marLeft w:val="0"/>
      <w:marRight w:val="0"/>
      <w:marTop w:val="0"/>
      <w:marBottom w:val="0"/>
      <w:divBdr>
        <w:top w:val="none" w:sz="0" w:space="0" w:color="auto"/>
        <w:left w:val="none" w:sz="0" w:space="0" w:color="auto"/>
        <w:bottom w:val="none" w:sz="0" w:space="0" w:color="auto"/>
        <w:right w:val="none" w:sz="0" w:space="0" w:color="auto"/>
      </w:divBdr>
      <w:divsChild>
        <w:div w:id="1211071669">
          <w:marLeft w:val="0"/>
          <w:marRight w:val="0"/>
          <w:marTop w:val="0"/>
          <w:marBottom w:val="0"/>
          <w:divBdr>
            <w:top w:val="none" w:sz="0" w:space="0" w:color="auto"/>
            <w:left w:val="none" w:sz="0" w:space="0" w:color="auto"/>
            <w:bottom w:val="none" w:sz="0" w:space="0" w:color="auto"/>
            <w:right w:val="none" w:sz="0" w:space="0" w:color="auto"/>
          </w:divBdr>
        </w:div>
        <w:div w:id="1480464983">
          <w:marLeft w:val="0"/>
          <w:marRight w:val="0"/>
          <w:marTop w:val="0"/>
          <w:marBottom w:val="0"/>
          <w:divBdr>
            <w:top w:val="none" w:sz="0" w:space="0" w:color="auto"/>
            <w:left w:val="none" w:sz="0" w:space="0" w:color="auto"/>
            <w:bottom w:val="none" w:sz="0" w:space="0" w:color="auto"/>
            <w:right w:val="none" w:sz="0" w:space="0" w:color="auto"/>
          </w:divBdr>
        </w:div>
      </w:divsChild>
    </w:div>
    <w:div w:id="557518160">
      <w:bodyDiv w:val="1"/>
      <w:marLeft w:val="0"/>
      <w:marRight w:val="0"/>
      <w:marTop w:val="0"/>
      <w:marBottom w:val="0"/>
      <w:divBdr>
        <w:top w:val="none" w:sz="0" w:space="0" w:color="auto"/>
        <w:left w:val="none" w:sz="0" w:space="0" w:color="auto"/>
        <w:bottom w:val="none" w:sz="0" w:space="0" w:color="auto"/>
        <w:right w:val="none" w:sz="0" w:space="0" w:color="auto"/>
      </w:divBdr>
    </w:div>
    <w:div w:id="706834000">
      <w:bodyDiv w:val="1"/>
      <w:marLeft w:val="0"/>
      <w:marRight w:val="0"/>
      <w:marTop w:val="0"/>
      <w:marBottom w:val="0"/>
      <w:divBdr>
        <w:top w:val="none" w:sz="0" w:space="0" w:color="auto"/>
        <w:left w:val="none" w:sz="0" w:space="0" w:color="auto"/>
        <w:bottom w:val="none" w:sz="0" w:space="0" w:color="auto"/>
        <w:right w:val="none" w:sz="0" w:space="0" w:color="auto"/>
      </w:divBdr>
    </w:div>
    <w:div w:id="886768988">
      <w:bodyDiv w:val="1"/>
      <w:marLeft w:val="0"/>
      <w:marRight w:val="0"/>
      <w:marTop w:val="0"/>
      <w:marBottom w:val="0"/>
      <w:divBdr>
        <w:top w:val="none" w:sz="0" w:space="0" w:color="auto"/>
        <w:left w:val="none" w:sz="0" w:space="0" w:color="auto"/>
        <w:bottom w:val="none" w:sz="0" w:space="0" w:color="auto"/>
        <w:right w:val="none" w:sz="0" w:space="0" w:color="auto"/>
      </w:divBdr>
    </w:div>
    <w:div w:id="1047728563">
      <w:bodyDiv w:val="1"/>
      <w:marLeft w:val="0"/>
      <w:marRight w:val="0"/>
      <w:marTop w:val="0"/>
      <w:marBottom w:val="0"/>
      <w:divBdr>
        <w:top w:val="none" w:sz="0" w:space="0" w:color="auto"/>
        <w:left w:val="none" w:sz="0" w:space="0" w:color="auto"/>
        <w:bottom w:val="none" w:sz="0" w:space="0" w:color="auto"/>
        <w:right w:val="none" w:sz="0" w:space="0" w:color="auto"/>
      </w:divBdr>
    </w:div>
    <w:div w:id="1106972254">
      <w:bodyDiv w:val="1"/>
      <w:marLeft w:val="0"/>
      <w:marRight w:val="0"/>
      <w:marTop w:val="0"/>
      <w:marBottom w:val="0"/>
      <w:divBdr>
        <w:top w:val="none" w:sz="0" w:space="0" w:color="auto"/>
        <w:left w:val="none" w:sz="0" w:space="0" w:color="auto"/>
        <w:bottom w:val="none" w:sz="0" w:space="0" w:color="auto"/>
        <w:right w:val="none" w:sz="0" w:space="0" w:color="auto"/>
      </w:divBdr>
    </w:div>
    <w:div w:id="1123887668">
      <w:bodyDiv w:val="1"/>
      <w:marLeft w:val="0"/>
      <w:marRight w:val="0"/>
      <w:marTop w:val="0"/>
      <w:marBottom w:val="0"/>
      <w:divBdr>
        <w:top w:val="none" w:sz="0" w:space="0" w:color="auto"/>
        <w:left w:val="none" w:sz="0" w:space="0" w:color="auto"/>
        <w:bottom w:val="none" w:sz="0" w:space="0" w:color="auto"/>
        <w:right w:val="none" w:sz="0" w:space="0" w:color="auto"/>
      </w:divBdr>
    </w:div>
    <w:div w:id="1330134293">
      <w:bodyDiv w:val="1"/>
      <w:marLeft w:val="0"/>
      <w:marRight w:val="0"/>
      <w:marTop w:val="0"/>
      <w:marBottom w:val="0"/>
      <w:divBdr>
        <w:top w:val="none" w:sz="0" w:space="0" w:color="auto"/>
        <w:left w:val="none" w:sz="0" w:space="0" w:color="auto"/>
        <w:bottom w:val="none" w:sz="0" w:space="0" w:color="auto"/>
        <w:right w:val="none" w:sz="0" w:space="0" w:color="auto"/>
      </w:divBdr>
      <w:divsChild>
        <w:div w:id="522062677">
          <w:marLeft w:val="0"/>
          <w:marRight w:val="0"/>
          <w:marTop w:val="0"/>
          <w:marBottom w:val="0"/>
          <w:divBdr>
            <w:top w:val="none" w:sz="0" w:space="0" w:color="auto"/>
            <w:left w:val="none" w:sz="0" w:space="0" w:color="auto"/>
            <w:bottom w:val="none" w:sz="0" w:space="0" w:color="auto"/>
            <w:right w:val="none" w:sz="0" w:space="0" w:color="auto"/>
          </w:divBdr>
        </w:div>
        <w:div w:id="1051616138">
          <w:marLeft w:val="0"/>
          <w:marRight w:val="0"/>
          <w:marTop w:val="0"/>
          <w:marBottom w:val="0"/>
          <w:divBdr>
            <w:top w:val="none" w:sz="0" w:space="0" w:color="auto"/>
            <w:left w:val="none" w:sz="0" w:space="0" w:color="auto"/>
            <w:bottom w:val="none" w:sz="0" w:space="0" w:color="auto"/>
            <w:right w:val="none" w:sz="0" w:space="0" w:color="auto"/>
          </w:divBdr>
        </w:div>
        <w:div w:id="1095857383">
          <w:marLeft w:val="0"/>
          <w:marRight w:val="0"/>
          <w:marTop w:val="0"/>
          <w:marBottom w:val="0"/>
          <w:divBdr>
            <w:top w:val="none" w:sz="0" w:space="0" w:color="auto"/>
            <w:left w:val="none" w:sz="0" w:space="0" w:color="auto"/>
            <w:bottom w:val="none" w:sz="0" w:space="0" w:color="auto"/>
            <w:right w:val="none" w:sz="0" w:space="0" w:color="auto"/>
          </w:divBdr>
          <w:divsChild>
            <w:div w:id="107892159">
              <w:marLeft w:val="0"/>
              <w:marRight w:val="0"/>
              <w:marTop w:val="30"/>
              <w:marBottom w:val="30"/>
              <w:divBdr>
                <w:top w:val="none" w:sz="0" w:space="0" w:color="auto"/>
                <w:left w:val="none" w:sz="0" w:space="0" w:color="auto"/>
                <w:bottom w:val="none" w:sz="0" w:space="0" w:color="auto"/>
                <w:right w:val="none" w:sz="0" w:space="0" w:color="auto"/>
              </w:divBdr>
              <w:divsChild>
                <w:div w:id="62223462">
                  <w:marLeft w:val="0"/>
                  <w:marRight w:val="0"/>
                  <w:marTop w:val="0"/>
                  <w:marBottom w:val="0"/>
                  <w:divBdr>
                    <w:top w:val="none" w:sz="0" w:space="0" w:color="auto"/>
                    <w:left w:val="none" w:sz="0" w:space="0" w:color="auto"/>
                    <w:bottom w:val="none" w:sz="0" w:space="0" w:color="auto"/>
                    <w:right w:val="none" w:sz="0" w:space="0" w:color="auto"/>
                  </w:divBdr>
                  <w:divsChild>
                    <w:div w:id="1120488947">
                      <w:marLeft w:val="0"/>
                      <w:marRight w:val="0"/>
                      <w:marTop w:val="0"/>
                      <w:marBottom w:val="0"/>
                      <w:divBdr>
                        <w:top w:val="none" w:sz="0" w:space="0" w:color="auto"/>
                        <w:left w:val="none" w:sz="0" w:space="0" w:color="auto"/>
                        <w:bottom w:val="none" w:sz="0" w:space="0" w:color="auto"/>
                        <w:right w:val="none" w:sz="0" w:space="0" w:color="auto"/>
                      </w:divBdr>
                    </w:div>
                  </w:divsChild>
                </w:div>
                <w:div w:id="100078296">
                  <w:marLeft w:val="0"/>
                  <w:marRight w:val="0"/>
                  <w:marTop w:val="0"/>
                  <w:marBottom w:val="0"/>
                  <w:divBdr>
                    <w:top w:val="none" w:sz="0" w:space="0" w:color="auto"/>
                    <w:left w:val="none" w:sz="0" w:space="0" w:color="auto"/>
                    <w:bottom w:val="none" w:sz="0" w:space="0" w:color="auto"/>
                    <w:right w:val="none" w:sz="0" w:space="0" w:color="auto"/>
                  </w:divBdr>
                  <w:divsChild>
                    <w:div w:id="205264114">
                      <w:marLeft w:val="0"/>
                      <w:marRight w:val="0"/>
                      <w:marTop w:val="0"/>
                      <w:marBottom w:val="0"/>
                      <w:divBdr>
                        <w:top w:val="none" w:sz="0" w:space="0" w:color="auto"/>
                        <w:left w:val="none" w:sz="0" w:space="0" w:color="auto"/>
                        <w:bottom w:val="none" w:sz="0" w:space="0" w:color="auto"/>
                        <w:right w:val="none" w:sz="0" w:space="0" w:color="auto"/>
                      </w:divBdr>
                    </w:div>
                  </w:divsChild>
                </w:div>
                <w:div w:id="126750905">
                  <w:marLeft w:val="0"/>
                  <w:marRight w:val="0"/>
                  <w:marTop w:val="0"/>
                  <w:marBottom w:val="0"/>
                  <w:divBdr>
                    <w:top w:val="none" w:sz="0" w:space="0" w:color="auto"/>
                    <w:left w:val="none" w:sz="0" w:space="0" w:color="auto"/>
                    <w:bottom w:val="none" w:sz="0" w:space="0" w:color="auto"/>
                    <w:right w:val="none" w:sz="0" w:space="0" w:color="auto"/>
                  </w:divBdr>
                  <w:divsChild>
                    <w:div w:id="1858234826">
                      <w:marLeft w:val="0"/>
                      <w:marRight w:val="0"/>
                      <w:marTop w:val="0"/>
                      <w:marBottom w:val="0"/>
                      <w:divBdr>
                        <w:top w:val="none" w:sz="0" w:space="0" w:color="auto"/>
                        <w:left w:val="none" w:sz="0" w:space="0" w:color="auto"/>
                        <w:bottom w:val="none" w:sz="0" w:space="0" w:color="auto"/>
                        <w:right w:val="none" w:sz="0" w:space="0" w:color="auto"/>
                      </w:divBdr>
                    </w:div>
                  </w:divsChild>
                </w:div>
                <w:div w:id="202594157">
                  <w:marLeft w:val="0"/>
                  <w:marRight w:val="0"/>
                  <w:marTop w:val="0"/>
                  <w:marBottom w:val="0"/>
                  <w:divBdr>
                    <w:top w:val="none" w:sz="0" w:space="0" w:color="auto"/>
                    <w:left w:val="none" w:sz="0" w:space="0" w:color="auto"/>
                    <w:bottom w:val="none" w:sz="0" w:space="0" w:color="auto"/>
                    <w:right w:val="none" w:sz="0" w:space="0" w:color="auto"/>
                  </w:divBdr>
                  <w:divsChild>
                    <w:div w:id="2042900197">
                      <w:marLeft w:val="0"/>
                      <w:marRight w:val="0"/>
                      <w:marTop w:val="0"/>
                      <w:marBottom w:val="0"/>
                      <w:divBdr>
                        <w:top w:val="none" w:sz="0" w:space="0" w:color="auto"/>
                        <w:left w:val="none" w:sz="0" w:space="0" w:color="auto"/>
                        <w:bottom w:val="none" w:sz="0" w:space="0" w:color="auto"/>
                        <w:right w:val="none" w:sz="0" w:space="0" w:color="auto"/>
                      </w:divBdr>
                    </w:div>
                  </w:divsChild>
                </w:div>
                <w:div w:id="270284715">
                  <w:marLeft w:val="0"/>
                  <w:marRight w:val="0"/>
                  <w:marTop w:val="0"/>
                  <w:marBottom w:val="0"/>
                  <w:divBdr>
                    <w:top w:val="none" w:sz="0" w:space="0" w:color="auto"/>
                    <w:left w:val="none" w:sz="0" w:space="0" w:color="auto"/>
                    <w:bottom w:val="none" w:sz="0" w:space="0" w:color="auto"/>
                    <w:right w:val="none" w:sz="0" w:space="0" w:color="auto"/>
                  </w:divBdr>
                  <w:divsChild>
                    <w:div w:id="1009716812">
                      <w:marLeft w:val="0"/>
                      <w:marRight w:val="0"/>
                      <w:marTop w:val="0"/>
                      <w:marBottom w:val="0"/>
                      <w:divBdr>
                        <w:top w:val="none" w:sz="0" w:space="0" w:color="auto"/>
                        <w:left w:val="none" w:sz="0" w:space="0" w:color="auto"/>
                        <w:bottom w:val="none" w:sz="0" w:space="0" w:color="auto"/>
                        <w:right w:val="none" w:sz="0" w:space="0" w:color="auto"/>
                      </w:divBdr>
                    </w:div>
                  </w:divsChild>
                </w:div>
                <w:div w:id="314532715">
                  <w:marLeft w:val="0"/>
                  <w:marRight w:val="0"/>
                  <w:marTop w:val="0"/>
                  <w:marBottom w:val="0"/>
                  <w:divBdr>
                    <w:top w:val="none" w:sz="0" w:space="0" w:color="auto"/>
                    <w:left w:val="none" w:sz="0" w:space="0" w:color="auto"/>
                    <w:bottom w:val="none" w:sz="0" w:space="0" w:color="auto"/>
                    <w:right w:val="none" w:sz="0" w:space="0" w:color="auto"/>
                  </w:divBdr>
                  <w:divsChild>
                    <w:div w:id="907106657">
                      <w:marLeft w:val="0"/>
                      <w:marRight w:val="0"/>
                      <w:marTop w:val="0"/>
                      <w:marBottom w:val="0"/>
                      <w:divBdr>
                        <w:top w:val="none" w:sz="0" w:space="0" w:color="auto"/>
                        <w:left w:val="none" w:sz="0" w:space="0" w:color="auto"/>
                        <w:bottom w:val="none" w:sz="0" w:space="0" w:color="auto"/>
                        <w:right w:val="none" w:sz="0" w:space="0" w:color="auto"/>
                      </w:divBdr>
                    </w:div>
                  </w:divsChild>
                </w:div>
                <w:div w:id="336076368">
                  <w:marLeft w:val="0"/>
                  <w:marRight w:val="0"/>
                  <w:marTop w:val="0"/>
                  <w:marBottom w:val="0"/>
                  <w:divBdr>
                    <w:top w:val="none" w:sz="0" w:space="0" w:color="auto"/>
                    <w:left w:val="none" w:sz="0" w:space="0" w:color="auto"/>
                    <w:bottom w:val="none" w:sz="0" w:space="0" w:color="auto"/>
                    <w:right w:val="none" w:sz="0" w:space="0" w:color="auto"/>
                  </w:divBdr>
                  <w:divsChild>
                    <w:div w:id="287784594">
                      <w:marLeft w:val="0"/>
                      <w:marRight w:val="0"/>
                      <w:marTop w:val="0"/>
                      <w:marBottom w:val="0"/>
                      <w:divBdr>
                        <w:top w:val="none" w:sz="0" w:space="0" w:color="auto"/>
                        <w:left w:val="none" w:sz="0" w:space="0" w:color="auto"/>
                        <w:bottom w:val="none" w:sz="0" w:space="0" w:color="auto"/>
                        <w:right w:val="none" w:sz="0" w:space="0" w:color="auto"/>
                      </w:divBdr>
                    </w:div>
                  </w:divsChild>
                </w:div>
                <w:div w:id="338049648">
                  <w:marLeft w:val="0"/>
                  <w:marRight w:val="0"/>
                  <w:marTop w:val="0"/>
                  <w:marBottom w:val="0"/>
                  <w:divBdr>
                    <w:top w:val="none" w:sz="0" w:space="0" w:color="auto"/>
                    <w:left w:val="none" w:sz="0" w:space="0" w:color="auto"/>
                    <w:bottom w:val="none" w:sz="0" w:space="0" w:color="auto"/>
                    <w:right w:val="none" w:sz="0" w:space="0" w:color="auto"/>
                  </w:divBdr>
                  <w:divsChild>
                    <w:div w:id="1945502721">
                      <w:marLeft w:val="0"/>
                      <w:marRight w:val="0"/>
                      <w:marTop w:val="0"/>
                      <w:marBottom w:val="0"/>
                      <w:divBdr>
                        <w:top w:val="none" w:sz="0" w:space="0" w:color="auto"/>
                        <w:left w:val="none" w:sz="0" w:space="0" w:color="auto"/>
                        <w:bottom w:val="none" w:sz="0" w:space="0" w:color="auto"/>
                        <w:right w:val="none" w:sz="0" w:space="0" w:color="auto"/>
                      </w:divBdr>
                    </w:div>
                  </w:divsChild>
                </w:div>
                <w:div w:id="625354603">
                  <w:marLeft w:val="0"/>
                  <w:marRight w:val="0"/>
                  <w:marTop w:val="0"/>
                  <w:marBottom w:val="0"/>
                  <w:divBdr>
                    <w:top w:val="none" w:sz="0" w:space="0" w:color="auto"/>
                    <w:left w:val="none" w:sz="0" w:space="0" w:color="auto"/>
                    <w:bottom w:val="none" w:sz="0" w:space="0" w:color="auto"/>
                    <w:right w:val="none" w:sz="0" w:space="0" w:color="auto"/>
                  </w:divBdr>
                  <w:divsChild>
                    <w:div w:id="182593653">
                      <w:marLeft w:val="0"/>
                      <w:marRight w:val="0"/>
                      <w:marTop w:val="0"/>
                      <w:marBottom w:val="0"/>
                      <w:divBdr>
                        <w:top w:val="none" w:sz="0" w:space="0" w:color="auto"/>
                        <w:left w:val="none" w:sz="0" w:space="0" w:color="auto"/>
                        <w:bottom w:val="none" w:sz="0" w:space="0" w:color="auto"/>
                        <w:right w:val="none" w:sz="0" w:space="0" w:color="auto"/>
                      </w:divBdr>
                    </w:div>
                  </w:divsChild>
                </w:div>
                <w:div w:id="718628896">
                  <w:marLeft w:val="0"/>
                  <w:marRight w:val="0"/>
                  <w:marTop w:val="0"/>
                  <w:marBottom w:val="0"/>
                  <w:divBdr>
                    <w:top w:val="none" w:sz="0" w:space="0" w:color="auto"/>
                    <w:left w:val="none" w:sz="0" w:space="0" w:color="auto"/>
                    <w:bottom w:val="none" w:sz="0" w:space="0" w:color="auto"/>
                    <w:right w:val="none" w:sz="0" w:space="0" w:color="auto"/>
                  </w:divBdr>
                  <w:divsChild>
                    <w:div w:id="766773847">
                      <w:marLeft w:val="0"/>
                      <w:marRight w:val="0"/>
                      <w:marTop w:val="0"/>
                      <w:marBottom w:val="0"/>
                      <w:divBdr>
                        <w:top w:val="none" w:sz="0" w:space="0" w:color="auto"/>
                        <w:left w:val="none" w:sz="0" w:space="0" w:color="auto"/>
                        <w:bottom w:val="none" w:sz="0" w:space="0" w:color="auto"/>
                        <w:right w:val="none" w:sz="0" w:space="0" w:color="auto"/>
                      </w:divBdr>
                    </w:div>
                  </w:divsChild>
                </w:div>
                <w:div w:id="741367406">
                  <w:marLeft w:val="0"/>
                  <w:marRight w:val="0"/>
                  <w:marTop w:val="0"/>
                  <w:marBottom w:val="0"/>
                  <w:divBdr>
                    <w:top w:val="none" w:sz="0" w:space="0" w:color="auto"/>
                    <w:left w:val="none" w:sz="0" w:space="0" w:color="auto"/>
                    <w:bottom w:val="none" w:sz="0" w:space="0" w:color="auto"/>
                    <w:right w:val="none" w:sz="0" w:space="0" w:color="auto"/>
                  </w:divBdr>
                  <w:divsChild>
                    <w:div w:id="260846236">
                      <w:marLeft w:val="0"/>
                      <w:marRight w:val="0"/>
                      <w:marTop w:val="0"/>
                      <w:marBottom w:val="0"/>
                      <w:divBdr>
                        <w:top w:val="none" w:sz="0" w:space="0" w:color="auto"/>
                        <w:left w:val="none" w:sz="0" w:space="0" w:color="auto"/>
                        <w:bottom w:val="none" w:sz="0" w:space="0" w:color="auto"/>
                        <w:right w:val="none" w:sz="0" w:space="0" w:color="auto"/>
                      </w:divBdr>
                    </w:div>
                  </w:divsChild>
                </w:div>
                <w:div w:id="926307640">
                  <w:marLeft w:val="0"/>
                  <w:marRight w:val="0"/>
                  <w:marTop w:val="0"/>
                  <w:marBottom w:val="0"/>
                  <w:divBdr>
                    <w:top w:val="none" w:sz="0" w:space="0" w:color="auto"/>
                    <w:left w:val="none" w:sz="0" w:space="0" w:color="auto"/>
                    <w:bottom w:val="none" w:sz="0" w:space="0" w:color="auto"/>
                    <w:right w:val="none" w:sz="0" w:space="0" w:color="auto"/>
                  </w:divBdr>
                  <w:divsChild>
                    <w:div w:id="245580389">
                      <w:marLeft w:val="0"/>
                      <w:marRight w:val="0"/>
                      <w:marTop w:val="0"/>
                      <w:marBottom w:val="0"/>
                      <w:divBdr>
                        <w:top w:val="none" w:sz="0" w:space="0" w:color="auto"/>
                        <w:left w:val="none" w:sz="0" w:space="0" w:color="auto"/>
                        <w:bottom w:val="none" w:sz="0" w:space="0" w:color="auto"/>
                        <w:right w:val="none" w:sz="0" w:space="0" w:color="auto"/>
                      </w:divBdr>
                    </w:div>
                  </w:divsChild>
                </w:div>
                <w:div w:id="1003969746">
                  <w:marLeft w:val="0"/>
                  <w:marRight w:val="0"/>
                  <w:marTop w:val="0"/>
                  <w:marBottom w:val="0"/>
                  <w:divBdr>
                    <w:top w:val="none" w:sz="0" w:space="0" w:color="auto"/>
                    <w:left w:val="none" w:sz="0" w:space="0" w:color="auto"/>
                    <w:bottom w:val="none" w:sz="0" w:space="0" w:color="auto"/>
                    <w:right w:val="none" w:sz="0" w:space="0" w:color="auto"/>
                  </w:divBdr>
                  <w:divsChild>
                    <w:div w:id="1562249708">
                      <w:marLeft w:val="0"/>
                      <w:marRight w:val="0"/>
                      <w:marTop w:val="0"/>
                      <w:marBottom w:val="0"/>
                      <w:divBdr>
                        <w:top w:val="none" w:sz="0" w:space="0" w:color="auto"/>
                        <w:left w:val="none" w:sz="0" w:space="0" w:color="auto"/>
                        <w:bottom w:val="none" w:sz="0" w:space="0" w:color="auto"/>
                        <w:right w:val="none" w:sz="0" w:space="0" w:color="auto"/>
                      </w:divBdr>
                    </w:div>
                  </w:divsChild>
                </w:div>
                <w:div w:id="1040085440">
                  <w:marLeft w:val="0"/>
                  <w:marRight w:val="0"/>
                  <w:marTop w:val="0"/>
                  <w:marBottom w:val="0"/>
                  <w:divBdr>
                    <w:top w:val="none" w:sz="0" w:space="0" w:color="auto"/>
                    <w:left w:val="none" w:sz="0" w:space="0" w:color="auto"/>
                    <w:bottom w:val="none" w:sz="0" w:space="0" w:color="auto"/>
                    <w:right w:val="none" w:sz="0" w:space="0" w:color="auto"/>
                  </w:divBdr>
                  <w:divsChild>
                    <w:div w:id="319037901">
                      <w:marLeft w:val="0"/>
                      <w:marRight w:val="0"/>
                      <w:marTop w:val="0"/>
                      <w:marBottom w:val="0"/>
                      <w:divBdr>
                        <w:top w:val="none" w:sz="0" w:space="0" w:color="auto"/>
                        <w:left w:val="none" w:sz="0" w:space="0" w:color="auto"/>
                        <w:bottom w:val="none" w:sz="0" w:space="0" w:color="auto"/>
                        <w:right w:val="none" w:sz="0" w:space="0" w:color="auto"/>
                      </w:divBdr>
                    </w:div>
                  </w:divsChild>
                </w:div>
                <w:div w:id="1179153897">
                  <w:marLeft w:val="0"/>
                  <w:marRight w:val="0"/>
                  <w:marTop w:val="0"/>
                  <w:marBottom w:val="0"/>
                  <w:divBdr>
                    <w:top w:val="none" w:sz="0" w:space="0" w:color="auto"/>
                    <w:left w:val="none" w:sz="0" w:space="0" w:color="auto"/>
                    <w:bottom w:val="none" w:sz="0" w:space="0" w:color="auto"/>
                    <w:right w:val="none" w:sz="0" w:space="0" w:color="auto"/>
                  </w:divBdr>
                  <w:divsChild>
                    <w:div w:id="1913420527">
                      <w:marLeft w:val="0"/>
                      <w:marRight w:val="0"/>
                      <w:marTop w:val="0"/>
                      <w:marBottom w:val="0"/>
                      <w:divBdr>
                        <w:top w:val="none" w:sz="0" w:space="0" w:color="auto"/>
                        <w:left w:val="none" w:sz="0" w:space="0" w:color="auto"/>
                        <w:bottom w:val="none" w:sz="0" w:space="0" w:color="auto"/>
                        <w:right w:val="none" w:sz="0" w:space="0" w:color="auto"/>
                      </w:divBdr>
                    </w:div>
                  </w:divsChild>
                </w:div>
                <w:div w:id="1184133395">
                  <w:marLeft w:val="0"/>
                  <w:marRight w:val="0"/>
                  <w:marTop w:val="0"/>
                  <w:marBottom w:val="0"/>
                  <w:divBdr>
                    <w:top w:val="none" w:sz="0" w:space="0" w:color="auto"/>
                    <w:left w:val="none" w:sz="0" w:space="0" w:color="auto"/>
                    <w:bottom w:val="none" w:sz="0" w:space="0" w:color="auto"/>
                    <w:right w:val="none" w:sz="0" w:space="0" w:color="auto"/>
                  </w:divBdr>
                  <w:divsChild>
                    <w:div w:id="1962685192">
                      <w:marLeft w:val="0"/>
                      <w:marRight w:val="0"/>
                      <w:marTop w:val="0"/>
                      <w:marBottom w:val="0"/>
                      <w:divBdr>
                        <w:top w:val="none" w:sz="0" w:space="0" w:color="auto"/>
                        <w:left w:val="none" w:sz="0" w:space="0" w:color="auto"/>
                        <w:bottom w:val="none" w:sz="0" w:space="0" w:color="auto"/>
                        <w:right w:val="none" w:sz="0" w:space="0" w:color="auto"/>
                      </w:divBdr>
                    </w:div>
                  </w:divsChild>
                </w:div>
                <w:div w:id="1216772239">
                  <w:marLeft w:val="0"/>
                  <w:marRight w:val="0"/>
                  <w:marTop w:val="0"/>
                  <w:marBottom w:val="0"/>
                  <w:divBdr>
                    <w:top w:val="none" w:sz="0" w:space="0" w:color="auto"/>
                    <w:left w:val="none" w:sz="0" w:space="0" w:color="auto"/>
                    <w:bottom w:val="none" w:sz="0" w:space="0" w:color="auto"/>
                    <w:right w:val="none" w:sz="0" w:space="0" w:color="auto"/>
                  </w:divBdr>
                  <w:divsChild>
                    <w:div w:id="491721751">
                      <w:marLeft w:val="0"/>
                      <w:marRight w:val="0"/>
                      <w:marTop w:val="0"/>
                      <w:marBottom w:val="0"/>
                      <w:divBdr>
                        <w:top w:val="none" w:sz="0" w:space="0" w:color="auto"/>
                        <w:left w:val="none" w:sz="0" w:space="0" w:color="auto"/>
                        <w:bottom w:val="none" w:sz="0" w:space="0" w:color="auto"/>
                        <w:right w:val="none" w:sz="0" w:space="0" w:color="auto"/>
                      </w:divBdr>
                    </w:div>
                  </w:divsChild>
                </w:div>
                <w:div w:id="1298952525">
                  <w:marLeft w:val="0"/>
                  <w:marRight w:val="0"/>
                  <w:marTop w:val="0"/>
                  <w:marBottom w:val="0"/>
                  <w:divBdr>
                    <w:top w:val="none" w:sz="0" w:space="0" w:color="auto"/>
                    <w:left w:val="none" w:sz="0" w:space="0" w:color="auto"/>
                    <w:bottom w:val="none" w:sz="0" w:space="0" w:color="auto"/>
                    <w:right w:val="none" w:sz="0" w:space="0" w:color="auto"/>
                  </w:divBdr>
                  <w:divsChild>
                    <w:div w:id="948510697">
                      <w:marLeft w:val="0"/>
                      <w:marRight w:val="0"/>
                      <w:marTop w:val="0"/>
                      <w:marBottom w:val="0"/>
                      <w:divBdr>
                        <w:top w:val="none" w:sz="0" w:space="0" w:color="auto"/>
                        <w:left w:val="none" w:sz="0" w:space="0" w:color="auto"/>
                        <w:bottom w:val="none" w:sz="0" w:space="0" w:color="auto"/>
                        <w:right w:val="none" w:sz="0" w:space="0" w:color="auto"/>
                      </w:divBdr>
                    </w:div>
                  </w:divsChild>
                </w:div>
                <w:div w:id="1348216148">
                  <w:marLeft w:val="0"/>
                  <w:marRight w:val="0"/>
                  <w:marTop w:val="0"/>
                  <w:marBottom w:val="0"/>
                  <w:divBdr>
                    <w:top w:val="none" w:sz="0" w:space="0" w:color="auto"/>
                    <w:left w:val="none" w:sz="0" w:space="0" w:color="auto"/>
                    <w:bottom w:val="none" w:sz="0" w:space="0" w:color="auto"/>
                    <w:right w:val="none" w:sz="0" w:space="0" w:color="auto"/>
                  </w:divBdr>
                  <w:divsChild>
                    <w:div w:id="538126855">
                      <w:marLeft w:val="0"/>
                      <w:marRight w:val="0"/>
                      <w:marTop w:val="0"/>
                      <w:marBottom w:val="0"/>
                      <w:divBdr>
                        <w:top w:val="none" w:sz="0" w:space="0" w:color="auto"/>
                        <w:left w:val="none" w:sz="0" w:space="0" w:color="auto"/>
                        <w:bottom w:val="none" w:sz="0" w:space="0" w:color="auto"/>
                        <w:right w:val="none" w:sz="0" w:space="0" w:color="auto"/>
                      </w:divBdr>
                    </w:div>
                  </w:divsChild>
                </w:div>
                <w:div w:id="1360231022">
                  <w:marLeft w:val="0"/>
                  <w:marRight w:val="0"/>
                  <w:marTop w:val="0"/>
                  <w:marBottom w:val="0"/>
                  <w:divBdr>
                    <w:top w:val="none" w:sz="0" w:space="0" w:color="auto"/>
                    <w:left w:val="none" w:sz="0" w:space="0" w:color="auto"/>
                    <w:bottom w:val="none" w:sz="0" w:space="0" w:color="auto"/>
                    <w:right w:val="none" w:sz="0" w:space="0" w:color="auto"/>
                  </w:divBdr>
                  <w:divsChild>
                    <w:div w:id="1158306074">
                      <w:marLeft w:val="0"/>
                      <w:marRight w:val="0"/>
                      <w:marTop w:val="0"/>
                      <w:marBottom w:val="0"/>
                      <w:divBdr>
                        <w:top w:val="none" w:sz="0" w:space="0" w:color="auto"/>
                        <w:left w:val="none" w:sz="0" w:space="0" w:color="auto"/>
                        <w:bottom w:val="none" w:sz="0" w:space="0" w:color="auto"/>
                        <w:right w:val="none" w:sz="0" w:space="0" w:color="auto"/>
                      </w:divBdr>
                    </w:div>
                  </w:divsChild>
                </w:div>
                <w:div w:id="1401445188">
                  <w:marLeft w:val="0"/>
                  <w:marRight w:val="0"/>
                  <w:marTop w:val="0"/>
                  <w:marBottom w:val="0"/>
                  <w:divBdr>
                    <w:top w:val="none" w:sz="0" w:space="0" w:color="auto"/>
                    <w:left w:val="none" w:sz="0" w:space="0" w:color="auto"/>
                    <w:bottom w:val="none" w:sz="0" w:space="0" w:color="auto"/>
                    <w:right w:val="none" w:sz="0" w:space="0" w:color="auto"/>
                  </w:divBdr>
                  <w:divsChild>
                    <w:div w:id="388503235">
                      <w:marLeft w:val="0"/>
                      <w:marRight w:val="0"/>
                      <w:marTop w:val="0"/>
                      <w:marBottom w:val="0"/>
                      <w:divBdr>
                        <w:top w:val="none" w:sz="0" w:space="0" w:color="auto"/>
                        <w:left w:val="none" w:sz="0" w:space="0" w:color="auto"/>
                        <w:bottom w:val="none" w:sz="0" w:space="0" w:color="auto"/>
                        <w:right w:val="none" w:sz="0" w:space="0" w:color="auto"/>
                      </w:divBdr>
                    </w:div>
                  </w:divsChild>
                </w:div>
                <w:div w:id="1462534022">
                  <w:marLeft w:val="0"/>
                  <w:marRight w:val="0"/>
                  <w:marTop w:val="0"/>
                  <w:marBottom w:val="0"/>
                  <w:divBdr>
                    <w:top w:val="none" w:sz="0" w:space="0" w:color="auto"/>
                    <w:left w:val="none" w:sz="0" w:space="0" w:color="auto"/>
                    <w:bottom w:val="none" w:sz="0" w:space="0" w:color="auto"/>
                    <w:right w:val="none" w:sz="0" w:space="0" w:color="auto"/>
                  </w:divBdr>
                  <w:divsChild>
                    <w:div w:id="1056928191">
                      <w:marLeft w:val="0"/>
                      <w:marRight w:val="0"/>
                      <w:marTop w:val="0"/>
                      <w:marBottom w:val="0"/>
                      <w:divBdr>
                        <w:top w:val="none" w:sz="0" w:space="0" w:color="auto"/>
                        <w:left w:val="none" w:sz="0" w:space="0" w:color="auto"/>
                        <w:bottom w:val="none" w:sz="0" w:space="0" w:color="auto"/>
                        <w:right w:val="none" w:sz="0" w:space="0" w:color="auto"/>
                      </w:divBdr>
                    </w:div>
                  </w:divsChild>
                </w:div>
                <w:div w:id="1614098021">
                  <w:marLeft w:val="0"/>
                  <w:marRight w:val="0"/>
                  <w:marTop w:val="0"/>
                  <w:marBottom w:val="0"/>
                  <w:divBdr>
                    <w:top w:val="none" w:sz="0" w:space="0" w:color="auto"/>
                    <w:left w:val="none" w:sz="0" w:space="0" w:color="auto"/>
                    <w:bottom w:val="none" w:sz="0" w:space="0" w:color="auto"/>
                    <w:right w:val="none" w:sz="0" w:space="0" w:color="auto"/>
                  </w:divBdr>
                  <w:divsChild>
                    <w:div w:id="1020206815">
                      <w:marLeft w:val="0"/>
                      <w:marRight w:val="0"/>
                      <w:marTop w:val="0"/>
                      <w:marBottom w:val="0"/>
                      <w:divBdr>
                        <w:top w:val="none" w:sz="0" w:space="0" w:color="auto"/>
                        <w:left w:val="none" w:sz="0" w:space="0" w:color="auto"/>
                        <w:bottom w:val="none" w:sz="0" w:space="0" w:color="auto"/>
                        <w:right w:val="none" w:sz="0" w:space="0" w:color="auto"/>
                      </w:divBdr>
                    </w:div>
                  </w:divsChild>
                </w:div>
                <w:div w:id="1637567994">
                  <w:marLeft w:val="0"/>
                  <w:marRight w:val="0"/>
                  <w:marTop w:val="0"/>
                  <w:marBottom w:val="0"/>
                  <w:divBdr>
                    <w:top w:val="none" w:sz="0" w:space="0" w:color="auto"/>
                    <w:left w:val="none" w:sz="0" w:space="0" w:color="auto"/>
                    <w:bottom w:val="none" w:sz="0" w:space="0" w:color="auto"/>
                    <w:right w:val="none" w:sz="0" w:space="0" w:color="auto"/>
                  </w:divBdr>
                  <w:divsChild>
                    <w:div w:id="608897564">
                      <w:marLeft w:val="0"/>
                      <w:marRight w:val="0"/>
                      <w:marTop w:val="0"/>
                      <w:marBottom w:val="0"/>
                      <w:divBdr>
                        <w:top w:val="none" w:sz="0" w:space="0" w:color="auto"/>
                        <w:left w:val="none" w:sz="0" w:space="0" w:color="auto"/>
                        <w:bottom w:val="none" w:sz="0" w:space="0" w:color="auto"/>
                        <w:right w:val="none" w:sz="0" w:space="0" w:color="auto"/>
                      </w:divBdr>
                    </w:div>
                  </w:divsChild>
                </w:div>
                <w:div w:id="1652057790">
                  <w:marLeft w:val="0"/>
                  <w:marRight w:val="0"/>
                  <w:marTop w:val="0"/>
                  <w:marBottom w:val="0"/>
                  <w:divBdr>
                    <w:top w:val="none" w:sz="0" w:space="0" w:color="auto"/>
                    <w:left w:val="none" w:sz="0" w:space="0" w:color="auto"/>
                    <w:bottom w:val="none" w:sz="0" w:space="0" w:color="auto"/>
                    <w:right w:val="none" w:sz="0" w:space="0" w:color="auto"/>
                  </w:divBdr>
                  <w:divsChild>
                    <w:div w:id="26608256">
                      <w:marLeft w:val="0"/>
                      <w:marRight w:val="0"/>
                      <w:marTop w:val="0"/>
                      <w:marBottom w:val="0"/>
                      <w:divBdr>
                        <w:top w:val="none" w:sz="0" w:space="0" w:color="auto"/>
                        <w:left w:val="none" w:sz="0" w:space="0" w:color="auto"/>
                        <w:bottom w:val="none" w:sz="0" w:space="0" w:color="auto"/>
                        <w:right w:val="none" w:sz="0" w:space="0" w:color="auto"/>
                      </w:divBdr>
                    </w:div>
                  </w:divsChild>
                </w:div>
                <w:div w:id="1713460605">
                  <w:marLeft w:val="0"/>
                  <w:marRight w:val="0"/>
                  <w:marTop w:val="0"/>
                  <w:marBottom w:val="0"/>
                  <w:divBdr>
                    <w:top w:val="none" w:sz="0" w:space="0" w:color="auto"/>
                    <w:left w:val="none" w:sz="0" w:space="0" w:color="auto"/>
                    <w:bottom w:val="none" w:sz="0" w:space="0" w:color="auto"/>
                    <w:right w:val="none" w:sz="0" w:space="0" w:color="auto"/>
                  </w:divBdr>
                  <w:divsChild>
                    <w:div w:id="247423983">
                      <w:marLeft w:val="0"/>
                      <w:marRight w:val="0"/>
                      <w:marTop w:val="0"/>
                      <w:marBottom w:val="0"/>
                      <w:divBdr>
                        <w:top w:val="none" w:sz="0" w:space="0" w:color="auto"/>
                        <w:left w:val="none" w:sz="0" w:space="0" w:color="auto"/>
                        <w:bottom w:val="none" w:sz="0" w:space="0" w:color="auto"/>
                        <w:right w:val="none" w:sz="0" w:space="0" w:color="auto"/>
                      </w:divBdr>
                    </w:div>
                  </w:divsChild>
                </w:div>
                <w:div w:id="1784298060">
                  <w:marLeft w:val="0"/>
                  <w:marRight w:val="0"/>
                  <w:marTop w:val="0"/>
                  <w:marBottom w:val="0"/>
                  <w:divBdr>
                    <w:top w:val="none" w:sz="0" w:space="0" w:color="auto"/>
                    <w:left w:val="none" w:sz="0" w:space="0" w:color="auto"/>
                    <w:bottom w:val="none" w:sz="0" w:space="0" w:color="auto"/>
                    <w:right w:val="none" w:sz="0" w:space="0" w:color="auto"/>
                  </w:divBdr>
                  <w:divsChild>
                    <w:div w:id="1500580153">
                      <w:marLeft w:val="0"/>
                      <w:marRight w:val="0"/>
                      <w:marTop w:val="0"/>
                      <w:marBottom w:val="0"/>
                      <w:divBdr>
                        <w:top w:val="none" w:sz="0" w:space="0" w:color="auto"/>
                        <w:left w:val="none" w:sz="0" w:space="0" w:color="auto"/>
                        <w:bottom w:val="none" w:sz="0" w:space="0" w:color="auto"/>
                        <w:right w:val="none" w:sz="0" w:space="0" w:color="auto"/>
                      </w:divBdr>
                    </w:div>
                  </w:divsChild>
                </w:div>
                <w:div w:id="1840388510">
                  <w:marLeft w:val="0"/>
                  <w:marRight w:val="0"/>
                  <w:marTop w:val="0"/>
                  <w:marBottom w:val="0"/>
                  <w:divBdr>
                    <w:top w:val="none" w:sz="0" w:space="0" w:color="auto"/>
                    <w:left w:val="none" w:sz="0" w:space="0" w:color="auto"/>
                    <w:bottom w:val="none" w:sz="0" w:space="0" w:color="auto"/>
                    <w:right w:val="none" w:sz="0" w:space="0" w:color="auto"/>
                  </w:divBdr>
                  <w:divsChild>
                    <w:div w:id="1362047549">
                      <w:marLeft w:val="0"/>
                      <w:marRight w:val="0"/>
                      <w:marTop w:val="0"/>
                      <w:marBottom w:val="0"/>
                      <w:divBdr>
                        <w:top w:val="none" w:sz="0" w:space="0" w:color="auto"/>
                        <w:left w:val="none" w:sz="0" w:space="0" w:color="auto"/>
                        <w:bottom w:val="none" w:sz="0" w:space="0" w:color="auto"/>
                        <w:right w:val="none" w:sz="0" w:space="0" w:color="auto"/>
                      </w:divBdr>
                    </w:div>
                  </w:divsChild>
                </w:div>
                <w:div w:id="1921714755">
                  <w:marLeft w:val="0"/>
                  <w:marRight w:val="0"/>
                  <w:marTop w:val="0"/>
                  <w:marBottom w:val="0"/>
                  <w:divBdr>
                    <w:top w:val="none" w:sz="0" w:space="0" w:color="auto"/>
                    <w:left w:val="none" w:sz="0" w:space="0" w:color="auto"/>
                    <w:bottom w:val="none" w:sz="0" w:space="0" w:color="auto"/>
                    <w:right w:val="none" w:sz="0" w:space="0" w:color="auto"/>
                  </w:divBdr>
                  <w:divsChild>
                    <w:div w:id="633486220">
                      <w:marLeft w:val="0"/>
                      <w:marRight w:val="0"/>
                      <w:marTop w:val="0"/>
                      <w:marBottom w:val="0"/>
                      <w:divBdr>
                        <w:top w:val="none" w:sz="0" w:space="0" w:color="auto"/>
                        <w:left w:val="none" w:sz="0" w:space="0" w:color="auto"/>
                        <w:bottom w:val="none" w:sz="0" w:space="0" w:color="auto"/>
                        <w:right w:val="none" w:sz="0" w:space="0" w:color="auto"/>
                      </w:divBdr>
                    </w:div>
                  </w:divsChild>
                </w:div>
                <w:div w:id="1967734582">
                  <w:marLeft w:val="0"/>
                  <w:marRight w:val="0"/>
                  <w:marTop w:val="0"/>
                  <w:marBottom w:val="0"/>
                  <w:divBdr>
                    <w:top w:val="none" w:sz="0" w:space="0" w:color="auto"/>
                    <w:left w:val="none" w:sz="0" w:space="0" w:color="auto"/>
                    <w:bottom w:val="none" w:sz="0" w:space="0" w:color="auto"/>
                    <w:right w:val="none" w:sz="0" w:space="0" w:color="auto"/>
                  </w:divBdr>
                  <w:divsChild>
                    <w:div w:id="1760710184">
                      <w:marLeft w:val="0"/>
                      <w:marRight w:val="0"/>
                      <w:marTop w:val="0"/>
                      <w:marBottom w:val="0"/>
                      <w:divBdr>
                        <w:top w:val="none" w:sz="0" w:space="0" w:color="auto"/>
                        <w:left w:val="none" w:sz="0" w:space="0" w:color="auto"/>
                        <w:bottom w:val="none" w:sz="0" w:space="0" w:color="auto"/>
                        <w:right w:val="none" w:sz="0" w:space="0" w:color="auto"/>
                      </w:divBdr>
                    </w:div>
                    <w:div w:id="2029479666">
                      <w:marLeft w:val="0"/>
                      <w:marRight w:val="0"/>
                      <w:marTop w:val="0"/>
                      <w:marBottom w:val="0"/>
                      <w:divBdr>
                        <w:top w:val="none" w:sz="0" w:space="0" w:color="auto"/>
                        <w:left w:val="none" w:sz="0" w:space="0" w:color="auto"/>
                        <w:bottom w:val="none" w:sz="0" w:space="0" w:color="auto"/>
                        <w:right w:val="none" w:sz="0" w:space="0" w:color="auto"/>
                      </w:divBdr>
                    </w:div>
                  </w:divsChild>
                </w:div>
                <w:div w:id="1983147929">
                  <w:marLeft w:val="0"/>
                  <w:marRight w:val="0"/>
                  <w:marTop w:val="0"/>
                  <w:marBottom w:val="0"/>
                  <w:divBdr>
                    <w:top w:val="none" w:sz="0" w:space="0" w:color="auto"/>
                    <w:left w:val="none" w:sz="0" w:space="0" w:color="auto"/>
                    <w:bottom w:val="none" w:sz="0" w:space="0" w:color="auto"/>
                    <w:right w:val="none" w:sz="0" w:space="0" w:color="auto"/>
                  </w:divBdr>
                  <w:divsChild>
                    <w:div w:id="1073621615">
                      <w:marLeft w:val="0"/>
                      <w:marRight w:val="0"/>
                      <w:marTop w:val="0"/>
                      <w:marBottom w:val="0"/>
                      <w:divBdr>
                        <w:top w:val="none" w:sz="0" w:space="0" w:color="auto"/>
                        <w:left w:val="none" w:sz="0" w:space="0" w:color="auto"/>
                        <w:bottom w:val="none" w:sz="0" w:space="0" w:color="auto"/>
                        <w:right w:val="none" w:sz="0" w:space="0" w:color="auto"/>
                      </w:divBdr>
                    </w:div>
                  </w:divsChild>
                </w:div>
                <w:div w:id="1987851687">
                  <w:marLeft w:val="0"/>
                  <w:marRight w:val="0"/>
                  <w:marTop w:val="0"/>
                  <w:marBottom w:val="0"/>
                  <w:divBdr>
                    <w:top w:val="none" w:sz="0" w:space="0" w:color="auto"/>
                    <w:left w:val="none" w:sz="0" w:space="0" w:color="auto"/>
                    <w:bottom w:val="none" w:sz="0" w:space="0" w:color="auto"/>
                    <w:right w:val="none" w:sz="0" w:space="0" w:color="auto"/>
                  </w:divBdr>
                  <w:divsChild>
                    <w:div w:id="1155999543">
                      <w:marLeft w:val="0"/>
                      <w:marRight w:val="0"/>
                      <w:marTop w:val="0"/>
                      <w:marBottom w:val="0"/>
                      <w:divBdr>
                        <w:top w:val="none" w:sz="0" w:space="0" w:color="auto"/>
                        <w:left w:val="none" w:sz="0" w:space="0" w:color="auto"/>
                        <w:bottom w:val="none" w:sz="0" w:space="0" w:color="auto"/>
                        <w:right w:val="none" w:sz="0" w:space="0" w:color="auto"/>
                      </w:divBdr>
                    </w:div>
                  </w:divsChild>
                </w:div>
                <w:div w:id="2024699387">
                  <w:marLeft w:val="0"/>
                  <w:marRight w:val="0"/>
                  <w:marTop w:val="0"/>
                  <w:marBottom w:val="0"/>
                  <w:divBdr>
                    <w:top w:val="none" w:sz="0" w:space="0" w:color="auto"/>
                    <w:left w:val="none" w:sz="0" w:space="0" w:color="auto"/>
                    <w:bottom w:val="none" w:sz="0" w:space="0" w:color="auto"/>
                    <w:right w:val="none" w:sz="0" w:space="0" w:color="auto"/>
                  </w:divBdr>
                  <w:divsChild>
                    <w:div w:id="1518428256">
                      <w:marLeft w:val="0"/>
                      <w:marRight w:val="0"/>
                      <w:marTop w:val="0"/>
                      <w:marBottom w:val="0"/>
                      <w:divBdr>
                        <w:top w:val="none" w:sz="0" w:space="0" w:color="auto"/>
                        <w:left w:val="none" w:sz="0" w:space="0" w:color="auto"/>
                        <w:bottom w:val="none" w:sz="0" w:space="0" w:color="auto"/>
                        <w:right w:val="none" w:sz="0" w:space="0" w:color="auto"/>
                      </w:divBdr>
                    </w:div>
                  </w:divsChild>
                </w:div>
                <w:div w:id="2034526449">
                  <w:marLeft w:val="0"/>
                  <w:marRight w:val="0"/>
                  <w:marTop w:val="0"/>
                  <w:marBottom w:val="0"/>
                  <w:divBdr>
                    <w:top w:val="none" w:sz="0" w:space="0" w:color="auto"/>
                    <w:left w:val="none" w:sz="0" w:space="0" w:color="auto"/>
                    <w:bottom w:val="none" w:sz="0" w:space="0" w:color="auto"/>
                    <w:right w:val="none" w:sz="0" w:space="0" w:color="auto"/>
                  </w:divBdr>
                  <w:divsChild>
                    <w:div w:id="640233051">
                      <w:marLeft w:val="0"/>
                      <w:marRight w:val="0"/>
                      <w:marTop w:val="0"/>
                      <w:marBottom w:val="0"/>
                      <w:divBdr>
                        <w:top w:val="none" w:sz="0" w:space="0" w:color="auto"/>
                        <w:left w:val="none" w:sz="0" w:space="0" w:color="auto"/>
                        <w:bottom w:val="none" w:sz="0" w:space="0" w:color="auto"/>
                        <w:right w:val="none" w:sz="0" w:space="0" w:color="auto"/>
                      </w:divBdr>
                    </w:div>
                  </w:divsChild>
                </w:div>
                <w:div w:id="2060669556">
                  <w:marLeft w:val="0"/>
                  <w:marRight w:val="0"/>
                  <w:marTop w:val="0"/>
                  <w:marBottom w:val="0"/>
                  <w:divBdr>
                    <w:top w:val="none" w:sz="0" w:space="0" w:color="auto"/>
                    <w:left w:val="none" w:sz="0" w:space="0" w:color="auto"/>
                    <w:bottom w:val="none" w:sz="0" w:space="0" w:color="auto"/>
                    <w:right w:val="none" w:sz="0" w:space="0" w:color="auto"/>
                  </w:divBdr>
                  <w:divsChild>
                    <w:div w:id="115017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739696">
          <w:marLeft w:val="0"/>
          <w:marRight w:val="0"/>
          <w:marTop w:val="0"/>
          <w:marBottom w:val="0"/>
          <w:divBdr>
            <w:top w:val="none" w:sz="0" w:space="0" w:color="auto"/>
            <w:left w:val="none" w:sz="0" w:space="0" w:color="auto"/>
            <w:bottom w:val="none" w:sz="0" w:space="0" w:color="auto"/>
            <w:right w:val="none" w:sz="0" w:space="0" w:color="auto"/>
          </w:divBdr>
        </w:div>
      </w:divsChild>
    </w:div>
    <w:div w:id="1358192217">
      <w:bodyDiv w:val="1"/>
      <w:marLeft w:val="0"/>
      <w:marRight w:val="0"/>
      <w:marTop w:val="0"/>
      <w:marBottom w:val="0"/>
      <w:divBdr>
        <w:top w:val="none" w:sz="0" w:space="0" w:color="auto"/>
        <w:left w:val="none" w:sz="0" w:space="0" w:color="auto"/>
        <w:bottom w:val="none" w:sz="0" w:space="0" w:color="auto"/>
        <w:right w:val="none" w:sz="0" w:space="0" w:color="auto"/>
      </w:divBdr>
    </w:div>
    <w:div w:id="1382484394">
      <w:bodyDiv w:val="1"/>
      <w:marLeft w:val="0"/>
      <w:marRight w:val="0"/>
      <w:marTop w:val="0"/>
      <w:marBottom w:val="0"/>
      <w:divBdr>
        <w:top w:val="none" w:sz="0" w:space="0" w:color="auto"/>
        <w:left w:val="none" w:sz="0" w:space="0" w:color="auto"/>
        <w:bottom w:val="none" w:sz="0" w:space="0" w:color="auto"/>
        <w:right w:val="none" w:sz="0" w:space="0" w:color="auto"/>
      </w:divBdr>
    </w:div>
    <w:div w:id="1420560141">
      <w:bodyDiv w:val="1"/>
      <w:marLeft w:val="0"/>
      <w:marRight w:val="0"/>
      <w:marTop w:val="0"/>
      <w:marBottom w:val="0"/>
      <w:divBdr>
        <w:top w:val="none" w:sz="0" w:space="0" w:color="auto"/>
        <w:left w:val="none" w:sz="0" w:space="0" w:color="auto"/>
        <w:bottom w:val="none" w:sz="0" w:space="0" w:color="auto"/>
        <w:right w:val="none" w:sz="0" w:space="0" w:color="auto"/>
      </w:divBdr>
    </w:div>
    <w:div w:id="1505970950">
      <w:bodyDiv w:val="1"/>
      <w:marLeft w:val="0"/>
      <w:marRight w:val="0"/>
      <w:marTop w:val="0"/>
      <w:marBottom w:val="0"/>
      <w:divBdr>
        <w:top w:val="none" w:sz="0" w:space="0" w:color="auto"/>
        <w:left w:val="none" w:sz="0" w:space="0" w:color="auto"/>
        <w:bottom w:val="none" w:sz="0" w:space="0" w:color="auto"/>
        <w:right w:val="none" w:sz="0" w:space="0" w:color="auto"/>
      </w:divBdr>
    </w:div>
    <w:div w:id="1768040035">
      <w:bodyDiv w:val="1"/>
      <w:marLeft w:val="0"/>
      <w:marRight w:val="0"/>
      <w:marTop w:val="0"/>
      <w:marBottom w:val="0"/>
      <w:divBdr>
        <w:top w:val="none" w:sz="0" w:space="0" w:color="auto"/>
        <w:left w:val="none" w:sz="0" w:space="0" w:color="auto"/>
        <w:bottom w:val="none" w:sz="0" w:space="0" w:color="auto"/>
        <w:right w:val="none" w:sz="0" w:space="0" w:color="auto"/>
      </w:divBdr>
    </w:div>
    <w:div w:id="1790006919">
      <w:bodyDiv w:val="1"/>
      <w:marLeft w:val="0"/>
      <w:marRight w:val="0"/>
      <w:marTop w:val="0"/>
      <w:marBottom w:val="0"/>
      <w:divBdr>
        <w:top w:val="none" w:sz="0" w:space="0" w:color="auto"/>
        <w:left w:val="none" w:sz="0" w:space="0" w:color="auto"/>
        <w:bottom w:val="none" w:sz="0" w:space="0" w:color="auto"/>
        <w:right w:val="none" w:sz="0" w:space="0" w:color="auto"/>
      </w:divBdr>
    </w:div>
    <w:div w:id="1820224848">
      <w:bodyDiv w:val="1"/>
      <w:marLeft w:val="0"/>
      <w:marRight w:val="0"/>
      <w:marTop w:val="0"/>
      <w:marBottom w:val="0"/>
      <w:divBdr>
        <w:top w:val="none" w:sz="0" w:space="0" w:color="auto"/>
        <w:left w:val="none" w:sz="0" w:space="0" w:color="auto"/>
        <w:bottom w:val="none" w:sz="0" w:space="0" w:color="auto"/>
        <w:right w:val="none" w:sz="0" w:space="0" w:color="auto"/>
      </w:divBdr>
    </w:div>
    <w:div w:id="196103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vng.nl/nieuws/interbestuurlijke-datastrategie-naar-de-tweede-kamer"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5.emf"/><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euc-word-edit.officeapps.live.com/we/wordeditorframe.aspx?ui=nl%2DNL&amp;rs=en%2DUS&amp;wopisrc=https%3A%2F%2Fbrbbnl-my.sharepoint.com%2Fpersonal%2Fj_kielestein_bghu_nl1%2F_vti_bin%2Fwopi.ashx%2Ffiles%2F78d7e997cda54a248c101a51754cc6bc&amp;wdlor=c113D5DE6%2DD6E2%2D4C64%2DADDE%2D2B38FFE7A9FA&amp;wdenableroaming=1&amp;mscc=0&amp;wdodb=1&amp;hid=FB8E6EA0-100C-5000-5CA5-650A48C532A9&amp;wdorigin=Outlook-Body&amp;wdhostclicktime=1665755435758&amp;jsapi=1&amp;jsapiver=v1&amp;newsession=1&amp;corrid=f679567f-1375-4e07-89a8-023690170273&amp;usid=f679567f-1375-4e07-89a8-023690170273&amp;sftc=1&amp;cac=1&amp;mtf=1&amp;sfp=1&amp;instantedit=1&amp;wopicomplete=1&amp;wdredirectionreason=Unified_SingleFlush&amp;rct=Medium&amp;ctp=LeastProtected"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utrecht.nl/fileadmin/uploads/documenten/bestuur-en-organisatie/college-van-b-en-w/_coalitieakkoord/2022-06-coalitieakkoord-2022-2026-investeren-in-utrecht.pdf" TargetMode="External"/><Relationship Id="rId20" Type="http://schemas.openxmlformats.org/officeDocument/2006/relationships/hyperlink" Target="https://vng.nl/nieuws/onderzoek-naar-no-cure-no-pay-bedrijven-die-woz-aanvecht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euc-word-edit.officeapps.live.com/we/wordeditorframe.aspx?ui=nl%2DNL&amp;rs=en%2DUS&amp;wopisrc=https%3A%2F%2Fbrbbnl-my.sharepoint.com%2Fpersonal%2Fj_kielestein_bghu_nl1%2F_vti_bin%2Fwopi.ashx%2Ffiles%2F78d7e997cda54a248c101a51754cc6bc&amp;wdlor=c113D5DE6%2DD6E2%2D4C64%2DADDE%2D2B38FFE7A9FA&amp;wdenableroaming=1&amp;mscc=0&amp;wdodb=1&amp;hid=FB8E6EA0-100C-5000-5CA5-650A48C532A9&amp;wdorigin=Outlook-Body&amp;wdhostclicktime=1665755435758&amp;jsapi=1&amp;jsapiver=v1&amp;newsession=1&amp;corrid=f679567f-1375-4e07-89a8-023690170273&amp;usid=f679567f-1375-4e07-89a8-023690170273&amp;sftc=1&amp;cac=1&amp;mtf=1&amp;sfp=1&amp;instantedit=1&amp;wopicomplete=1&amp;wdredirectionreason=Unified_SingleFlush&amp;rct=Medium&amp;ctp=LeastProtected"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rijksoverheid.nl/documenten/kamerstukken/2022/09/30/kamerbrief-aanvullende-reactie-op-het-wodc-rapport-van-beroep-in-bezwaa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B3E3C6AEBD7044AA7867592247837FE" ma:contentTypeVersion="11" ma:contentTypeDescription="Create a new document." ma:contentTypeScope="" ma:versionID="9f157829fe1a3fb06218dcd458145024">
  <xsd:schema xmlns:xsd="http://www.w3.org/2001/XMLSchema" xmlns:xs="http://www.w3.org/2001/XMLSchema" xmlns:p="http://schemas.microsoft.com/office/2006/metadata/properties" xmlns:ns3="b9ff994f-3fea-402c-8faa-38e128166f95" xmlns:ns4="9f65ebb7-c626-4ce4-b4f9-309fea928dc6" targetNamespace="http://schemas.microsoft.com/office/2006/metadata/properties" ma:root="true" ma:fieldsID="847baa8d110afb7cd9293a79e2133fe6" ns3:_="" ns4:_="">
    <xsd:import namespace="b9ff994f-3fea-402c-8faa-38e128166f95"/>
    <xsd:import namespace="9f65ebb7-c626-4ce4-b4f9-309fea928dc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ff994f-3fea-402c-8faa-38e128166f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65ebb7-c626-4ce4-b4f9-309fea928d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497CA-2615-42C1-A043-1B4737912815}">
  <ds:schemaRefs>
    <ds:schemaRef ds:uri="http://schemas.microsoft.com/sharepoint/v3/contenttype/forms"/>
  </ds:schemaRefs>
</ds:datastoreItem>
</file>

<file path=customXml/itemProps2.xml><?xml version="1.0" encoding="utf-8"?>
<ds:datastoreItem xmlns:ds="http://schemas.openxmlformats.org/officeDocument/2006/customXml" ds:itemID="{2CFBCC60-C335-4A67-8DC6-47A05A72C4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ff994f-3fea-402c-8faa-38e128166f95"/>
    <ds:schemaRef ds:uri="9f65ebb7-c626-4ce4-b4f9-309fea928d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F1EC83-44C3-4017-8588-2029B75AEB2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f65ebb7-c626-4ce4-b4f9-309fea928dc6"/>
    <ds:schemaRef ds:uri="b9ff994f-3fea-402c-8faa-38e128166f95"/>
    <ds:schemaRef ds:uri="http://www.w3.org/XML/1998/namespace"/>
    <ds:schemaRef ds:uri="http://purl.org/dc/dcmitype/"/>
  </ds:schemaRefs>
</ds:datastoreItem>
</file>

<file path=customXml/itemProps4.xml><?xml version="1.0" encoding="utf-8"?>
<ds:datastoreItem xmlns:ds="http://schemas.openxmlformats.org/officeDocument/2006/customXml" ds:itemID="{F3C16DAC-B40E-43AC-A778-D4C75907D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11647</Words>
  <Characters>64063</Characters>
  <Application>Microsoft Office Word</Application>
  <DocSecurity>0</DocSecurity>
  <Lines>533</Lines>
  <Paragraphs>151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MVvE</dc:creator>
  <cp:keywords/>
  <dc:description/>
  <cp:lastModifiedBy>Marieke Vrisou van Eck</cp:lastModifiedBy>
  <cp:revision>2</cp:revision>
  <cp:lastPrinted>2022-12-12T15:23:00Z</cp:lastPrinted>
  <dcterms:created xsi:type="dcterms:W3CDTF">2022-12-15T07:22:00Z</dcterms:created>
  <dcterms:modified xsi:type="dcterms:W3CDTF">2022-12-15T07:22:00Z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0x010100BB3E3C6AEBD7044AA7867592247837FE</vt:lpwstr>
  </property>
</Properties>
</file>